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FA4" w:rsidRPr="00E64653" w:rsidRDefault="00783D7D" w:rsidP="00E64653">
      <w:pPr>
        <w:spacing w:after="80"/>
        <w:jc w:val="center"/>
        <w:rPr>
          <w:rFonts w:ascii="Times New Roman" w:hAnsi="Times New Roman" w:cs="Times New Roman"/>
          <w:sz w:val="28"/>
          <w:szCs w:val="24"/>
        </w:rPr>
      </w:pPr>
      <w:r w:rsidRPr="00E64653">
        <w:rPr>
          <w:rFonts w:ascii="Times New Roman" w:hAnsi="Times New Roman" w:cs="Times New Roman"/>
          <w:b/>
          <w:bCs/>
          <w:color w:val="2E3192"/>
          <w:sz w:val="28"/>
          <w:szCs w:val="24"/>
        </w:rPr>
        <w:t>Flood Risk Prediction in Hill-Adjacen</w:t>
      </w:r>
      <w:r w:rsidR="00E64653">
        <w:rPr>
          <w:rFonts w:ascii="Times New Roman" w:hAnsi="Times New Roman" w:cs="Times New Roman"/>
          <w:b/>
          <w:bCs/>
          <w:color w:val="2E3192"/>
          <w:sz w:val="28"/>
          <w:szCs w:val="24"/>
        </w:rPr>
        <w:t xml:space="preserve">t Communities Using Deep Neural </w:t>
      </w:r>
      <w:r w:rsidRPr="00E64653">
        <w:rPr>
          <w:rFonts w:ascii="Times New Roman" w:hAnsi="Times New Roman" w:cs="Times New Roman"/>
          <w:b/>
          <w:bCs/>
          <w:color w:val="2E3192"/>
          <w:sz w:val="28"/>
          <w:szCs w:val="24"/>
        </w:rPr>
        <w:t>Networks</w:t>
      </w:r>
      <w:r w:rsidR="00E64653">
        <w:rPr>
          <w:rFonts w:ascii="Times New Roman" w:hAnsi="Times New Roman" w:cs="Times New Roman"/>
          <w:b/>
          <w:bCs/>
          <w:color w:val="2E3192"/>
          <w:sz w:val="28"/>
          <w:szCs w:val="24"/>
        </w:rPr>
        <w:t xml:space="preserve"> </w:t>
      </w:r>
      <w:r w:rsidRPr="00E64653">
        <w:rPr>
          <w:rFonts w:ascii="Times New Roman" w:hAnsi="Times New Roman" w:cs="Times New Roman"/>
          <w:b/>
          <w:bCs/>
          <w:color w:val="2E3192"/>
          <w:sz w:val="28"/>
          <w:szCs w:val="24"/>
        </w:rPr>
        <w:t>and Environmental Vulnerability Indicators</w:t>
      </w:r>
    </w:p>
    <w:p w:rsidR="00C50FA4" w:rsidRPr="00E64653" w:rsidRDefault="00071BE0">
      <w:pPr>
        <w:spacing w:after="60"/>
        <w:jc w:val="center"/>
        <w:rPr>
          <w:rFonts w:ascii="Times New Roman" w:hAnsi="Times New Roman" w:cs="Times New Roman"/>
          <w:sz w:val="24"/>
          <w:szCs w:val="24"/>
          <w:vertAlign w:val="superscript"/>
        </w:rPr>
      </w:pPr>
      <w:proofErr w:type="spellStart"/>
      <w:r w:rsidRPr="00E64653">
        <w:rPr>
          <w:rFonts w:ascii="Times New Roman" w:hAnsi="Times New Roman" w:cs="Times New Roman"/>
          <w:b/>
          <w:bCs/>
          <w:color w:val="1F497D"/>
          <w:sz w:val="24"/>
          <w:szCs w:val="24"/>
        </w:rPr>
        <w:t>Sunit</w:t>
      </w:r>
      <w:proofErr w:type="spellEnd"/>
      <w:r w:rsidRPr="00E64653">
        <w:rPr>
          <w:rFonts w:ascii="Times New Roman" w:hAnsi="Times New Roman" w:cs="Times New Roman"/>
          <w:b/>
          <w:bCs/>
          <w:color w:val="1F497D"/>
          <w:sz w:val="24"/>
          <w:szCs w:val="24"/>
        </w:rPr>
        <w:t xml:space="preserve"> Kumar Mishra</w:t>
      </w:r>
      <w:r w:rsidR="00E64653">
        <w:rPr>
          <w:rFonts w:ascii="Times New Roman" w:hAnsi="Times New Roman" w:cs="Times New Roman"/>
          <w:b/>
          <w:bCs/>
          <w:color w:val="1F497D"/>
          <w:sz w:val="24"/>
          <w:szCs w:val="24"/>
          <w:vertAlign w:val="superscript"/>
        </w:rPr>
        <w:t>1</w:t>
      </w:r>
      <w:r w:rsidR="00E64653">
        <w:rPr>
          <w:rFonts w:ascii="Times New Roman" w:hAnsi="Times New Roman" w:cs="Times New Roman"/>
          <w:b/>
          <w:bCs/>
          <w:color w:val="1F497D"/>
          <w:sz w:val="24"/>
          <w:szCs w:val="24"/>
        </w:rPr>
        <w:t xml:space="preserve">, </w:t>
      </w:r>
      <w:proofErr w:type="spellStart"/>
      <w:r w:rsidR="00E64653">
        <w:rPr>
          <w:rFonts w:ascii="Times New Roman" w:hAnsi="Times New Roman" w:cs="Times New Roman"/>
          <w:b/>
          <w:bCs/>
          <w:color w:val="1F497D"/>
          <w:sz w:val="24"/>
          <w:szCs w:val="24"/>
        </w:rPr>
        <w:t>Umesh</w:t>
      </w:r>
      <w:proofErr w:type="spellEnd"/>
      <w:r w:rsidR="00E64653">
        <w:rPr>
          <w:rFonts w:ascii="Times New Roman" w:hAnsi="Times New Roman" w:cs="Times New Roman"/>
          <w:b/>
          <w:bCs/>
          <w:color w:val="1F497D"/>
          <w:sz w:val="24"/>
          <w:szCs w:val="24"/>
        </w:rPr>
        <w:t xml:space="preserve"> </w:t>
      </w:r>
      <w:proofErr w:type="spellStart"/>
      <w:r w:rsidR="00E64653">
        <w:rPr>
          <w:rFonts w:ascii="Times New Roman" w:hAnsi="Times New Roman" w:cs="Times New Roman"/>
          <w:b/>
          <w:bCs/>
          <w:color w:val="1F497D"/>
          <w:sz w:val="24"/>
          <w:szCs w:val="24"/>
        </w:rPr>
        <w:t>Pratap</w:t>
      </w:r>
      <w:proofErr w:type="spellEnd"/>
      <w:r w:rsidR="00E64653">
        <w:rPr>
          <w:rFonts w:ascii="Times New Roman" w:hAnsi="Times New Roman" w:cs="Times New Roman"/>
          <w:b/>
          <w:bCs/>
          <w:color w:val="1F497D"/>
          <w:sz w:val="24"/>
          <w:szCs w:val="24"/>
        </w:rPr>
        <w:t xml:space="preserve"> Singh</w:t>
      </w:r>
      <w:r w:rsidR="00E64653">
        <w:rPr>
          <w:rFonts w:ascii="Times New Roman" w:hAnsi="Times New Roman" w:cs="Times New Roman"/>
          <w:b/>
          <w:bCs/>
          <w:color w:val="1F497D"/>
          <w:sz w:val="24"/>
          <w:szCs w:val="24"/>
          <w:vertAlign w:val="superscript"/>
        </w:rPr>
        <w:t>2</w:t>
      </w:r>
    </w:p>
    <w:p w:rsidR="00C50FA4" w:rsidRPr="00E64653" w:rsidRDefault="00E64653" w:rsidP="00E64653">
      <w:pPr>
        <w:spacing w:after="50"/>
        <w:ind w:left="-180"/>
        <w:jc w:val="center"/>
        <w:rPr>
          <w:rFonts w:ascii="Times New Roman" w:hAnsi="Times New Roman" w:cs="Times New Roman"/>
          <w:sz w:val="24"/>
          <w:szCs w:val="24"/>
        </w:rPr>
      </w:pPr>
      <w:r>
        <w:rPr>
          <w:rFonts w:ascii="Times New Roman" w:hAnsi="Times New Roman" w:cs="Times New Roman"/>
          <w:i/>
          <w:iCs/>
          <w:sz w:val="24"/>
          <w:szCs w:val="24"/>
          <w:vertAlign w:val="superscript"/>
        </w:rPr>
        <w:t>1,2</w:t>
      </w:r>
      <w:r w:rsidR="00783D7D" w:rsidRPr="00E64653">
        <w:rPr>
          <w:rFonts w:ascii="Times New Roman" w:hAnsi="Times New Roman" w:cs="Times New Roman"/>
          <w:i/>
          <w:iCs/>
          <w:sz w:val="24"/>
          <w:szCs w:val="24"/>
        </w:rPr>
        <w:t xml:space="preserve">Department of </w:t>
      </w:r>
      <w:r w:rsidR="00071BE0" w:rsidRPr="00E64653">
        <w:rPr>
          <w:rFonts w:ascii="Times New Roman" w:hAnsi="Times New Roman" w:cs="Times New Roman"/>
          <w:i/>
          <w:iCs/>
          <w:sz w:val="24"/>
          <w:szCs w:val="24"/>
        </w:rPr>
        <w:t>Computer Science&amp; Engineering</w:t>
      </w:r>
      <w:r w:rsidR="00783D7D" w:rsidRPr="00E64653">
        <w:rPr>
          <w:rFonts w:ascii="Times New Roman" w:hAnsi="Times New Roman" w:cs="Times New Roman"/>
          <w:i/>
          <w:iCs/>
          <w:sz w:val="24"/>
          <w:szCs w:val="24"/>
        </w:rPr>
        <w:t xml:space="preserve">, </w:t>
      </w:r>
      <w:r w:rsidR="00071BE0" w:rsidRPr="00E64653">
        <w:rPr>
          <w:rFonts w:ascii="Times New Roman" w:hAnsi="Times New Roman" w:cs="Times New Roman"/>
          <w:i/>
          <w:iCs/>
          <w:sz w:val="24"/>
          <w:szCs w:val="24"/>
        </w:rPr>
        <w:t>School of Management Sciences,</w:t>
      </w:r>
      <w:r w:rsidR="00783D7D" w:rsidRPr="00E64653">
        <w:rPr>
          <w:rFonts w:ascii="Times New Roman" w:hAnsi="Times New Roman" w:cs="Times New Roman"/>
          <w:i/>
          <w:iCs/>
          <w:sz w:val="24"/>
          <w:szCs w:val="24"/>
        </w:rPr>
        <w:t xml:space="preserve"> Lucknow, India</w:t>
      </w:r>
    </w:p>
    <w:p w:rsidR="00C50FA4" w:rsidRPr="00E64653" w:rsidRDefault="00071BE0">
      <w:pPr>
        <w:spacing w:after="160"/>
        <w:jc w:val="center"/>
        <w:rPr>
          <w:rFonts w:ascii="Times New Roman" w:hAnsi="Times New Roman" w:cs="Times New Roman"/>
          <w:sz w:val="24"/>
          <w:szCs w:val="24"/>
        </w:rPr>
      </w:pPr>
      <w:r w:rsidRPr="00E64653">
        <w:rPr>
          <w:rFonts w:ascii="Times New Roman" w:hAnsi="Times New Roman" w:cs="Times New Roman"/>
          <w:color w:val="1F497D"/>
          <w:sz w:val="24"/>
          <w:szCs w:val="24"/>
        </w:rPr>
        <w:t>sunitkumarmishra@smslucknow.ac.in</w:t>
      </w:r>
      <w:r w:rsidR="00F85A02">
        <w:rPr>
          <w:rFonts w:ascii="Times New Roman" w:hAnsi="Times New Roman" w:cs="Times New Roman"/>
          <w:color w:val="1F497D"/>
          <w:sz w:val="24"/>
          <w:szCs w:val="24"/>
        </w:rPr>
        <w:t>,usingh@smslucknow.ac.in</w:t>
      </w:r>
      <w:bookmarkStart w:id="0" w:name="_GoBack"/>
      <w:bookmarkEnd w:id="0"/>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9"/>
      </w:tblGrid>
      <w:tr w:rsidR="00C50FA4" w:rsidRPr="00E64653" w:rsidTr="00E64653">
        <w:tc>
          <w:tcPr>
            <w:tcW w:w="9899" w:type="dxa"/>
            <w:tcBorders>
              <w:top w:val="single" w:sz="1" w:space="0" w:color="2E3192"/>
              <w:left w:val="single" w:sz="1" w:space="0" w:color="2E3192"/>
              <w:bottom w:val="single" w:sz="1" w:space="0" w:color="2E3192"/>
              <w:right w:val="single" w:sz="1" w:space="0" w:color="2E3192"/>
            </w:tcBorders>
            <w:shd w:val="clear" w:color="auto" w:fill="EEF2FF"/>
            <w:tcMar>
              <w:top w:w="140" w:type="dxa"/>
              <w:left w:w="180" w:type="dxa"/>
              <w:bottom w:w="140" w:type="dxa"/>
              <w:right w:w="180" w:type="dxa"/>
            </w:tcMar>
          </w:tcPr>
          <w:p w:rsidR="00C50FA4" w:rsidRPr="00E64653" w:rsidRDefault="00783D7D">
            <w:pPr>
              <w:spacing w:after="60"/>
              <w:rPr>
                <w:rFonts w:ascii="Times New Roman" w:hAnsi="Times New Roman" w:cs="Times New Roman"/>
                <w:sz w:val="28"/>
                <w:szCs w:val="24"/>
              </w:rPr>
            </w:pPr>
            <w:r w:rsidRPr="00E64653">
              <w:rPr>
                <w:rFonts w:ascii="Times New Roman" w:hAnsi="Times New Roman" w:cs="Times New Roman"/>
                <w:b/>
                <w:bCs/>
                <w:color w:val="2E3192"/>
                <w:sz w:val="28"/>
                <w:szCs w:val="24"/>
              </w:rPr>
              <w:t>Abstract</w:t>
            </w:r>
          </w:p>
          <w:p w:rsidR="00C50FA4" w:rsidRPr="00E64653" w:rsidRDefault="00783D7D">
            <w:pPr>
              <w:spacing w:after="7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Hill-adjacent communities face disproportionate flood risks driven by steep terrain, accelerated deforestation, and intensifying monsoon precipitation amplified by climate change. Conventional hydrological models often fail to capture the non-linear interdependencies among environmental vulnerability indicators that govern flood occurrence in these ecologically sensitive regions. This study presents a Deep Neural Network (DNN)-based predictive framework trained on 21 environmental and socio-physical features from the publicly available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Flood Prediction Dataset (50,000 records). The proposed multi-layer DNN architecture employs batch normalization and dropout regularization for robust generalization. It is benchmarked against Logistic Regression, Support Vector Machine (SVM), and Random Forest. The DNN achieves the highest predictive performance: Accuracy 91.8%, R² = 0.93, and RMSE = 0.098. Permutation-based feature importance analysis identifies Monsoon Intensity, Topographic Drainage, and Deforestation as the dominant flood-triggering factors, directly linking hill ecosystem degradation to human survival risk. Results advocate for integrating AI-driven flood prediction into disaster resilience frameworks for sustainable hill ecosystem management.</w:t>
            </w:r>
          </w:p>
          <w:p w:rsidR="00C50FA4" w:rsidRPr="00E64653" w:rsidRDefault="00783D7D">
            <w:pPr>
              <w:spacing w:before="70"/>
              <w:rPr>
                <w:rFonts w:ascii="Times New Roman" w:hAnsi="Times New Roman" w:cs="Times New Roman"/>
                <w:sz w:val="24"/>
                <w:szCs w:val="24"/>
              </w:rPr>
            </w:pPr>
            <w:r w:rsidRPr="00E64653">
              <w:rPr>
                <w:rFonts w:ascii="Times New Roman" w:hAnsi="Times New Roman" w:cs="Times New Roman"/>
                <w:b/>
                <w:bCs/>
                <w:sz w:val="24"/>
                <w:szCs w:val="24"/>
              </w:rPr>
              <w:t xml:space="preserve">Keywords: </w:t>
            </w:r>
            <w:r w:rsidRPr="00E64653">
              <w:rPr>
                <w:rFonts w:ascii="Times New Roman" w:hAnsi="Times New Roman" w:cs="Times New Roman"/>
                <w:i/>
                <w:iCs/>
                <w:sz w:val="24"/>
                <w:szCs w:val="24"/>
              </w:rPr>
              <w:t>Deep Neural Network, Flood Risk Prediction, Hill Ecosystem, Environmental Vulnerability, Disaster Early Warning, Monsoon Intensity, Human Survival</w:t>
            </w:r>
          </w:p>
        </w:tc>
      </w:tr>
    </w:tbl>
    <w:p w:rsidR="00C50FA4" w:rsidRPr="00E64653" w:rsidRDefault="00C50FA4">
      <w:pPr>
        <w:spacing w:before="180"/>
        <w:rPr>
          <w:rFonts w:ascii="Times New Roman" w:hAnsi="Times New Roman" w:cs="Times New Roman"/>
          <w:sz w:val="24"/>
          <w:szCs w:val="24"/>
        </w:rPr>
      </w:pPr>
    </w:p>
    <w:p w:rsidR="00C50FA4" w:rsidRPr="00E64653" w:rsidRDefault="00783D7D">
      <w:pPr>
        <w:pBdr>
          <w:bottom w:val="single" w:sz="4" w:space="2" w:color="2E3192"/>
        </w:pBdr>
        <w:spacing w:before="280" w:after="120"/>
        <w:rPr>
          <w:rFonts w:ascii="Times New Roman" w:hAnsi="Times New Roman" w:cs="Times New Roman"/>
          <w:sz w:val="28"/>
          <w:szCs w:val="24"/>
        </w:rPr>
      </w:pPr>
      <w:r w:rsidRPr="00E64653">
        <w:rPr>
          <w:rFonts w:ascii="Times New Roman" w:hAnsi="Times New Roman" w:cs="Times New Roman"/>
          <w:b/>
          <w:bCs/>
          <w:color w:val="2E3192"/>
          <w:sz w:val="28"/>
          <w:szCs w:val="24"/>
        </w:rPr>
        <w:t>1. Introduction</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Floods are among the most catastrophic natural hazards, accounting for over one-third of all disaster-related economic losses globally and causing approximately 10,000 fatalities annually [1]. Communities situated in hill-adjacent and mountainous terrains are particularly vulnerable due to steep topography, fragile soil structures, and rapid rainfall-runoff responses during monsoon events. The Indian Himalayan Region (IHR) alone recorded over 25,000 disaster incidents in </w:t>
      </w:r>
      <w:proofErr w:type="spellStart"/>
      <w:r w:rsidRPr="00E64653">
        <w:rPr>
          <w:rFonts w:ascii="Times New Roman" w:hAnsi="Times New Roman" w:cs="Times New Roman"/>
          <w:sz w:val="24"/>
          <w:szCs w:val="24"/>
        </w:rPr>
        <w:t>Uttarakhand</w:t>
      </w:r>
      <w:proofErr w:type="spellEnd"/>
      <w:r w:rsidRPr="00E64653">
        <w:rPr>
          <w:rFonts w:ascii="Times New Roman" w:hAnsi="Times New Roman" w:cs="Times New Roman"/>
          <w:sz w:val="24"/>
          <w:szCs w:val="24"/>
        </w:rPr>
        <w:t xml:space="preserve"> over the past eight years, resulting in 705 deaths from flash floods and landslides [2]. In Himachal Pradesh, 2023 monsoon events caused 441 fatalities and damages exceeding ₹12,000 </w:t>
      </w:r>
      <w:proofErr w:type="gramStart"/>
      <w:r w:rsidRPr="00E64653">
        <w:rPr>
          <w:rFonts w:ascii="Times New Roman" w:hAnsi="Times New Roman" w:cs="Times New Roman"/>
          <w:sz w:val="24"/>
          <w:szCs w:val="24"/>
        </w:rPr>
        <w:t>crore</w:t>
      </w:r>
      <w:proofErr w:type="gramEnd"/>
      <w:r w:rsidRPr="00E64653">
        <w:rPr>
          <w:rFonts w:ascii="Times New Roman" w:hAnsi="Times New Roman" w:cs="Times New Roman"/>
          <w:sz w:val="24"/>
          <w:szCs w:val="24"/>
        </w:rPr>
        <w:t>, underscoring the escalating threat to hill-adjacent human settlements [3].</w:t>
      </w:r>
      <w:r w:rsidR="00071BE0" w:rsidRPr="00E64653">
        <w:rPr>
          <w:rFonts w:ascii="Times New Roman" w:hAnsi="Times New Roman" w:cs="Times New Roman"/>
          <w:sz w:val="24"/>
          <w:szCs w:val="24"/>
        </w:rPr>
        <w:t xml:space="preserve"> </w:t>
      </w:r>
      <w:r w:rsidRPr="00E64653">
        <w:rPr>
          <w:rFonts w:ascii="Times New Roman" w:hAnsi="Times New Roman" w:cs="Times New Roman"/>
          <w:sz w:val="24"/>
          <w:szCs w:val="24"/>
        </w:rPr>
        <w:t>Traditional floo</w:t>
      </w:r>
      <w:r w:rsidR="00071BE0" w:rsidRPr="00E64653">
        <w:rPr>
          <w:rFonts w:ascii="Times New Roman" w:hAnsi="Times New Roman" w:cs="Times New Roman"/>
          <w:sz w:val="24"/>
          <w:szCs w:val="24"/>
        </w:rPr>
        <w:t>d management approaches,</w:t>
      </w:r>
      <w:r w:rsidRPr="00E64653">
        <w:rPr>
          <w:rFonts w:ascii="Times New Roman" w:hAnsi="Times New Roman" w:cs="Times New Roman"/>
          <w:sz w:val="24"/>
          <w:szCs w:val="24"/>
        </w:rPr>
        <w:t xml:space="preserve"> physics-based hydrological models and threshold-based alert systems</w:t>
      </w:r>
      <w:r w:rsidR="00071BE0" w:rsidRPr="00E64653">
        <w:rPr>
          <w:rFonts w:ascii="Times New Roman" w:hAnsi="Times New Roman" w:cs="Times New Roman"/>
          <w:sz w:val="24"/>
          <w:szCs w:val="24"/>
        </w:rPr>
        <w:t xml:space="preserve"> </w:t>
      </w:r>
      <w:r w:rsidRPr="00E64653">
        <w:rPr>
          <w:rFonts w:ascii="Times New Roman" w:hAnsi="Times New Roman" w:cs="Times New Roman"/>
          <w:sz w:val="24"/>
          <w:szCs w:val="24"/>
        </w:rPr>
        <w:t>are computationally expensive, require dense sensor networks, and often fail to generalize across diverse hill terrains [4]. With the exponential growth of open environmental datasets and advances in deep learning (DL), data-driven approaches have emerged as powerful complements or alternatives to classical methods [5]. Recent studies demonstrate that DL models, particularly Deep Neural Networks (DNNs), Long Short-Term Memory (LSTM) networks, and Convolutional Neural Networks (CNNs), can model complex non-linear relationships among flood-conditioning variables with significantly improved accuracy [6, 7].</w:t>
      </w:r>
      <w:r w:rsidR="00071BE0" w:rsidRPr="00E64653">
        <w:rPr>
          <w:rFonts w:ascii="Times New Roman" w:hAnsi="Times New Roman" w:cs="Times New Roman"/>
          <w:sz w:val="24"/>
          <w:szCs w:val="24"/>
        </w:rPr>
        <w:t xml:space="preserve"> </w:t>
      </w:r>
      <w:r w:rsidRPr="00E64653">
        <w:rPr>
          <w:rFonts w:ascii="Times New Roman" w:hAnsi="Times New Roman" w:cs="Times New Roman"/>
          <w:sz w:val="24"/>
          <w:szCs w:val="24"/>
        </w:rPr>
        <w:t xml:space="preserve">This paper proposes a DNN-based flood risk prediction framework tailored for hill-adjacent communities. The model integrates 21 multi-dimensional environmental and socio-physical vulnerability indicators from the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Flood Prediction Dataset. Research contributions include: (</w:t>
      </w:r>
      <w:proofErr w:type="spellStart"/>
      <w:r w:rsidRPr="00E64653">
        <w:rPr>
          <w:rFonts w:ascii="Times New Roman" w:hAnsi="Times New Roman" w:cs="Times New Roman"/>
          <w:sz w:val="24"/>
          <w:szCs w:val="24"/>
        </w:rPr>
        <w:t>i</w:t>
      </w:r>
      <w:proofErr w:type="spellEnd"/>
      <w:r w:rsidRPr="00E64653">
        <w:rPr>
          <w:rFonts w:ascii="Times New Roman" w:hAnsi="Times New Roman" w:cs="Times New Roman"/>
          <w:sz w:val="24"/>
          <w:szCs w:val="24"/>
        </w:rPr>
        <w:t xml:space="preserve">) a systematic comparison of DNN against classical ML baselines; (ii) permutation-based feature importance analysis; and (iii) empirical evidence </w:t>
      </w:r>
      <w:r w:rsidRPr="00E64653">
        <w:rPr>
          <w:rFonts w:ascii="Times New Roman" w:hAnsi="Times New Roman" w:cs="Times New Roman"/>
          <w:sz w:val="24"/>
          <w:szCs w:val="24"/>
        </w:rPr>
        <w:lastRenderedPageBreak/>
        <w:t>linking hill ecosystem degradation indicators (deforestation, wetland loss, watershed deterioration</w:t>
      </w:r>
      <w:r w:rsidR="00071BE0" w:rsidRPr="00E64653">
        <w:rPr>
          <w:rFonts w:ascii="Times New Roman" w:hAnsi="Times New Roman" w:cs="Times New Roman"/>
          <w:sz w:val="24"/>
          <w:szCs w:val="24"/>
        </w:rPr>
        <w:t xml:space="preserve">) to elevated flood probability, </w:t>
      </w:r>
      <w:r w:rsidRPr="00E64653">
        <w:rPr>
          <w:rFonts w:ascii="Times New Roman" w:hAnsi="Times New Roman" w:cs="Times New Roman"/>
          <w:sz w:val="24"/>
          <w:szCs w:val="24"/>
        </w:rPr>
        <w:t>a nexus central to the conference theme of Hills Ecosystem and Human Survival.</w:t>
      </w:r>
    </w:p>
    <w:p w:rsidR="00C50FA4" w:rsidRPr="00E64653" w:rsidRDefault="00C50FA4">
      <w:pPr>
        <w:spacing w:before="80"/>
        <w:rPr>
          <w:rFonts w:ascii="Times New Roman" w:hAnsi="Times New Roman" w:cs="Times New Roman"/>
          <w:sz w:val="24"/>
          <w:szCs w:val="24"/>
        </w:rPr>
      </w:pPr>
    </w:p>
    <w:p w:rsidR="00C50FA4" w:rsidRPr="00E64653" w:rsidRDefault="00783D7D">
      <w:pPr>
        <w:pBdr>
          <w:bottom w:val="single" w:sz="4" w:space="2" w:color="2E3192"/>
        </w:pBdr>
        <w:spacing w:before="280" w:after="120"/>
        <w:rPr>
          <w:rFonts w:ascii="Times New Roman" w:hAnsi="Times New Roman" w:cs="Times New Roman"/>
          <w:sz w:val="28"/>
          <w:szCs w:val="24"/>
        </w:rPr>
      </w:pPr>
      <w:r w:rsidRPr="00E64653">
        <w:rPr>
          <w:rFonts w:ascii="Times New Roman" w:hAnsi="Times New Roman" w:cs="Times New Roman"/>
          <w:b/>
          <w:bCs/>
          <w:color w:val="2E3192"/>
          <w:sz w:val="28"/>
          <w:szCs w:val="24"/>
        </w:rPr>
        <w:t>2. Related Work</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The last decade has witnessed a paradigm shift in flood prediction from physics-based models to machine learning and deep learning approaches. Kumar et al. [8] provided a comprehensive review of ML applications in flood forecasting, establishing the superiority of self-learning models over traditional methods when applied to large, diverse datasets. Saeed et al. [9] demonstrated ANN effectiveness for flood hazard zonation in the Kabul River Basin, while </w:t>
      </w:r>
      <w:proofErr w:type="spellStart"/>
      <w:r w:rsidRPr="00E64653">
        <w:rPr>
          <w:rFonts w:ascii="Times New Roman" w:hAnsi="Times New Roman" w:cs="Times New Roman"/>
          <w:sz w:val="24"/>
          <w:szCs w:val="24"/>
        </w:rPr>
        <w:t>Yaseen</w:t>
      </w:r>
      <w:proofErr w:type="spellEnd"/>
      <w:r w:rsidRPr="00E64653">
        <w:rPr>
          <w:rFonts w:ascii="Times New Roman" w:hAnsi="Times New Roman" w:cs="Times New Roman"/>
          <w:sz w:val="24"/>
          <w:szCs w:val="24"/>
        </w:rPr>
        <w:t xml:space="preserve"> et al. [10] employed ensemble ML for flood susceptibility mapping in arid Pakistan.</w:t>
      </w:r>
      <w:r w:rsidR="00EA1C56" w:rsidRPr="00E64653">
        <w:rPr>
          <w:rFonts w:ascii="Times New Roman" w:hAnsi="Times New Roman" w:cs="Times New Roman"/>
          <w:sz w:val="24"/>
          <w:szCs w:val="24"/>
        </w:rPr>
        <w:t xml:space="preserve"> </w:t>
      </w:r>
      <w:r w:rsidRPr="00E64653">
        <w:rPr>
          <w:rFonts w:ascii="Times New Roman" w:hAnsi="Times New Roman" w:cs="Times New Roman"/>
          <w:sz w:val="24"/>
          <w:szCs w:val="24"/>
        </w:rPr>
        <w:t xml:space="preserve">For temporal modeling, LSTM networks have proven particularly effective. Fang et al. [11] demonstrated LSTM-based flood susceptibility prediction achieving high AUC in river basin studies, while </w:t>
      </w:r>
      <w:proofErr w:type="gramStart"/>
      <w:r w:rsidRPr="00E64653">
        <w:rPr>
          <w:rFonts w:ascii="Times New Roman" w:hAnsi="Times New Roman" w:cs="Times New Roman"/>
          <w:sz w:val="24"/>
          <w:szCs w:val="24"/>
        </w:rPr>
        <w:t>An</w:t>
      </w:r>
      <w:proofErr w:type="gramEnd"/>
      <w:r w:rsidRPr="00E64653">
        <w:rPr>
          <w:rFonts w:ascii="Times New Roman" w:hAnsi="Times New Roman" w:cs="Times New Roman"/>
          <w:sz w:val="24"/>
          <w:szCs w:val="24"/>
        </w:rPr>
        <w:t xml:space="preserve"> and Ouyang [12] proposed a hybrid LSTM-hydrodynamic model for real-time flash flood forecasting in ungauged catchments. CNN-LSTM hybrid architectures have also gained traction: Chen et al. [13] proposed CNN-LSTM for urban flood depth prediction, and a novel CNN-U-Net framework was applied to the Indian Himalayan Region by Gupta et al. [14] for rapid flood susceptibility mapping incorporating 14 hydro-geomorphological predictors during the 2025 monsoon.</w:t>
      </w:r>
      <w:r w:rsidR="00EA1C56" w:rsidRPr="00E64653">
        <w:rPr>
          <w:rFonts w:ascii="Times New Roman" w:hAnsi="Times New Roman" w:cs="Times New Roman"/>
          <w:sz w:val="24"/>
          <w:szCs w:val="24"/>
        </w:rPr>
        <w:t xml:space="preserve"> </w:t>
      </w:r>
      <w:r w:rsidRPr="00E64653">
        <w:rPr>
          <w:rFonts w:ascii="Times New Roman" w:hAnsi="Times New Roman" w:cs="Times New Roman"/>
          <w:sz w:val="24"/>
          <w:szCs w:val="24"/>
        </w:rPr>
        <w:t xml:space="preserve">For the Ghaghara Basin in Uttar Pradesh (a hill-adjacent region adjacent to Lucknow), a hybrid CNN-LSTM with Fuzzy-AHP was proposed for improved spatial-temporal prediction [15], while Mishra and Prasad [16] compared multiple ML models for flood susceptibility in the same basin. </w:t>
      </w:r>
      <w:proofErr w:type="spellStart"/>
      <w:r w:rsidRPr="00E64653">
        <w:rPr>
          <w:rFonts w:ascii="Times New Roman" w:hAnsi="Times New Roman" w:cs="Times New Roman"/>
          <w:sz w:val="24"/>
          <w:szCs w:val="24"/>
        </w:rPr>
        <w:t>Razavi-Termeh</w:t>
      </w:r>
      <w:proofErr w:type="spellEnd"/>
      <w:r w:rsidRPr="00E64653">
        <w:rPr>
          <w:rFonts w:ascii="Times New Roman" w:hAnsi="Times New Roman" w:cs="Times New Roman"/>
          <w:sz w:val="24"/>
          <w:szCs w:val="24"/>
        </w:rPr>
        <w:t xml:space="preserve"> et al. [17] combined LSTM and RNN with metaheuristic optimization (GA and CSA) for flood susceptibility mapping. </w:t>
      </w:r>
      <w:proofErr w:type="spellStart"/>
      <w:r w:rsidRPr="00E64653">
        <w:rPr>
          <w:rFonts w:ascii="Times New Roman" w:hAnsi="Times New Roman" w:cs="Times New Roman"/>
          <w:sz w:val="24"/>
          <w:szCs w:val="24"/>
        </w:rPr>
        <w:t>Shaddoud</w:t>
      </w:r>
      <w:proofErr w:type="spellEnd"/>
      <w:r w:rsidRPr="00E64653">
        <w:rPr>
          <w:rFonts w:ascii="Times New Roman" w:hAnsi="Times New Roman" w:cs="Times New Roman"/>
          <w:sz w:val="24"/>
          <w:szCs w:val="24"/>
        </w:rPr>
        <w:t xml:space="preserve"> et al. [18] and </w:t>
      </w:r>
      <w:proofErr w:type="spellStart"/>
      <w:r w:rsidRPr="00E64653">
        <w:rPr>
          <w:rFonts w:ascii="Times New Roman" w:hAnsi="Times New Roman" w:cs="Times New Roman"/>
          <w:sz w:val="24"/>
          <w:szCs w:val="24"/>
        </w:rPr>
        <w:t>Achu</w:t>
      </w:r>
      <w:proofErr w:type="spellEnd"/>
      <w:r w:rsidRPr="00E64653">
        <w:rPr>
          <w:rFonts w:ascii="Times New Roman" w:hAnsi="Times New Roman" w:cs="Times New Roman"/>
          <w:sz w:val="24"/>
          <w:szCs w:val="24"/>
        </w:rPr>
        <w:t xml:space="preserve"> et al. [19] explored multi-model ensemble approaches for tropical and mountainous river basins. Despite these advances, few studies have specifically combined socio-environmental vulnerability tabular indicators with feedforward DNN architectures for open-access hill-community flood risk prediction, which this study addresses.</w:t>
      </w:r>
    </w:p>
    <w:p w:rsidR="00C50FA4" w:rsidRPr="00E64653" w:rsidRDefault="00C50FA4">
      <w:pPr>
        <w:spacing w:before="80"/>
        <w:rPr>
          <w:rFonts w:ascii="Times New Roman" w:hAnsi="Times New Roman" w:cs="Times New Roman"/>
          <w:sz w:val="24"/>
          <w:szCs w:val="24"/>
        </w:rPr>
      </w:pPr>
    </w:p>
    <w:p w:rsidR="00C50FA4" w:rsidRPr="00E64653" w:rsidRDefault="00783D7D">
      <w:pPr>
        <w:pBdr>
          <w:bottom w:val="single" w:sz="4" w:space="2" w:color="2E3192"/>
        </w:pBdr>
        <w:spacing w:before="280" w:after="120"/>
        <w:rPr>
          <w:rFonts w:ascii="Times New Roman" w:hAnsi="Times New Roman" w:cs="Times New Roman"/>
          <w:sz w:val="28"/>
          <w:szCs w:val="24"/>
        </w:rPr>
      </w:pPr>
      <w:r w:rsidRPr="00E64653">
        <w:rPr>
          <w:rFonts w:ascii="Times New Roman" w:hAnsi="Times New Roman" w:cs="Times New Roman"/>
          <w:b/>
          <w:bCs/>
          <w:color w:val="2E3192"/>
          <w:sz w:val="28"/>
          <w:szCs w:val="24"/>
        </w:rPr>
        <w:t>3. Dataset Description</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The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Flood Prediction Dataset [20] (https://www.kaggle.com/datasets/naiyakhalid/flood-prediction-dataset) is a publicly available tabular dataset comprising 50,000 records and 21 numeric environmental and socio-physical features. The target variable </w:t>
      </w:r>
      <w:proofErr w:type="spellStart"/>
      <w:r w:rsidRPr="00E64653">
        <w:rPr>
          <w:rFonts w:ascii="Times New Roman" w:hAnsi="Times New Roman" w:cs="Times New Roman"/>
          <w:sz w:val="24"/>
          <w:szCs w:val="24"/>
        </w:rPr>
        <w:t>FloodProbability</w:t>
      </w:r>
      <w:proofErr w:type="spellEnd"/>
      <w:r w:rsidRPr="00E64653">
        <w:rPr>
          <w:rFonts w:ascii="Times New Roman" w:hAnsi="Times New Roman" w:cs="Times New Roman"/>
          <w:sz w:val="24"/>
          <w:szCs w:val="24"/>
        </w:rPr>
        <w:t xml:space="preserve"> is a continuous score in [0,1]. All features are int64 type with no missing values, making it directly suitable for DNN training. Table 1 summarizes the 21 input features grouped by category.</w:t>
      </w:r>
    </w:p>
    <w:p w:rsidR="00C50FA4" w:rsidRPr="00E64653" w:rsidRDefault="00C50FA4">
      <w:pPr>
        <w:spacing w:before="80"/>
        <w:rPr>
          <w:rFonts w:ascii="Times New Roman" w:hAnsi="Times New Roman" w:cs="Times New Roman"/>
          <w:sz w:val="24"/>
          <w:szCs w:val="24"/>
        </w:rPr>
      </w:pPr>
    </w:p>
    <w:p w:rsidR="00C50FA4" w:rsidRPr="00E64653" w:rsidRDefault="00783D7D">
      <w:pPr>
        <w:spacing w:after="80"/>
        <w:rPr>
          <w:rFonts w:ascii="Times New Roman" w:hAnsi="Times New Roman" w:cs="Times New Roman"/>
          <w:sz w:val="24"/>
          <w:szCs w:val="24"/>
        </w:rPr>
      </w:pPr>
      <w:r w:rsidRPr="00E64653">
        <w:rPr>
          <w:rFonts w:ascii="Times New Roman" w:hAnsi="Times New Roman" w:cs="Times New Roman"/>
          <w:b/>
          <w:bCs/>
          <w:color w:val="2E3192"/>
          <w:sz w:val="24"/>
          <w:szCs w:val="24"/>
        </w:rPr>
        <w:t>Table 1: Categorized Dataset Features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3"/>
        <w:gridCol w:w="3312"/>
        <w:gridCol w:w="4524"/>
      </w:tblGrid>
      <w:tr w:rsidR="00C50FA4" w:rsidRPr="00E64653" w:rsidTr="00EA1C56">
        <w:tc>
          <w:tcPr>
            <w:tcW w:w="18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Category</w:t>
            </w:r>
          </w:p>
        </w:tc>
        <w:tc>
          <w:tcPr>
            <w:tcW w:w="31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Feature(s)</w:t>
            </w:r>
          </w:p>
        </w:tc>
        <w:tc>
          <w:tcPr>
            <w:tcW w:w="4729"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Description</w:t>
            </w:r>
          </w:p>
        </w:tc>
      </w:tr>
      <w:tr w:rsidR="00C50FA4" w:rsidRPr="00E64653" w:rsidTr="00EA1C56">
        <w:tc>
          <w:tcPr>
            <w:tcW w:w="18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Meteorological</w:t>
            </w:r>
          </w:p>
        </w:tc>
        <w:tc>
          <w:tcPr>
            <w:tcW w:w="31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proofErr w:type="spellStart"/>
            <w:r w:rsidRPr="00E64653">
              <w:rPr>
                <w:rFonts w:ascii="Times New Roman" w:hAnsi="Times New Roman" w:cs="Times New Roman"/>
                <w:sz w:val="24"/>
                <w:szCs w:val="24"/>
              </w:rPr>
              <w:t>MonsoonIntensity</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ClimateChange</w:t>
            </w:r>
            <w:proofErr w:type="spellEnd"/>
          </w:p>
        </w:tc>
        <w:tc>
          <w:tcPr>
            <w:tcW w:w="4729"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Rainfall intensity &amp; climate impact score</w:t>
            </w:r>
          </w:p>
        </w:tc>
      </w:tr>
      <w:tr w:rsidR="00C50FA4" w:rsidRPr="00E64653" w:rsidTr="00EA1C56">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Topographic</w:t>
            </w:r>
          </w:p>
        </w:tc>
        <w:tc>
          <w:tcPr>
            <w:tcW w:w="31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proofErr w:type="spellStart"/>
            <w:r w:rsidRPr="00E64653">
              <w:rPr>
                <w:rFonts w:ascii="Times New Roman" w:hAnsi="Times New Roman" w:cs="Times New Roman"/>
                <w:sz w:val="24"/>
                <w:szCs w:val="24"/>
              </w:rPr>
              <w:t>TopographyDrainage</w:t>
            </w:r>
            <w:proofErr w:type="spellEnd"/>
            <w:r w:rsidRPr="00E64653">
              <w:rPr>
                <w:rFonts w:ascii="Times New Roman" w:hAnsi="Times New Roman" w:cs="Times New Roman"/>
                <w:sz w:val="24"/>
                <w:szCs w:val="24"/>
              </w:rPr>
              <w:t>, Landslides</w:t>
            </w:r>
          </w:p>
        </w:tc>
        <w:tc>
          <w:tcPr>
            <w:tcW w:w="4729"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Terrain drainage capacity &amp; slope failure risk</w:t>
            </w:r>
          </w:p>
        </w:tc>
      </w:tr>
      <w:tr w:rsidR="00C50FA4" w:rsidRPr="00E64653" w:rsidTr="00EA1C56">
        <w:tc>
          <w:tcPr>
            <w:tcW w:w="18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Ecological</w:t>
            </w:r>
          </w:p>
        </w:tc>
        <w:tc>
          <w:tcPr>
            <w:tcW w:w="31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 xml:space="preserve">Deforestation, </w:t>
            </w:r>
            <w:proofErr w:type="spellStart"/>
            <w:r w:rsidRPr="00E64653">
              <w:rPr>
                <w:rFonts w:ascii="Times New Roman" w:hAnsi="Times New Roman" w:cs="Times New Roman"/>
                <w:sz w:val="24"/>
                <w:szCs w:val="24"/>
              </w:rPr>
              <w:t>WetlandLoss</w:t>
            </w:r>
            <w:proofErr w:type="spellEnd"/>
            <w:r w:rsidRPr="00E64653">
              <w:rPr>
                <w:rFonts w:ascii="Times New Roman" w:hAnsi="Times New Roman" w:cs="Times New Roman"/>
                <w:sz w:val="24"/>
                <w:szCs w:val="24"/>
              </w:rPr>
              <w:t>, Watersheds, Siltation</w:t>
            </w:r>
          </w:p>
        </w:tc>
        <w:tc>
          <w:tcPr>
            <w:tcW w:w="4729"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Forest cover, wetland, watershed &amp; siltation indices</w:t>
            </w:r>
          </w:p>
        </w:tc>
      </w:tr>
      <w:tr w:rsidR="00C50FA4" w:rsidRPr="00E64653" w:rsidTr="00EA1C56">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lastRenderedPageBreak/>
              <w:t>Infrastructural</w:t>
            </w:r>
          </w:p>
        </w:tc>
        <w:tc>
          <w:tcPr>
            <w:tcW w:w="31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proofErr w:type="spellStart"/>
            <w:r w:rsidRPr="00E64653">
              <w:rPr>
                <w:rFonts w:ascii="Times New Roman" w:hAnsi="Times New Roman" w:cs="Times New Roman"/>
                <w:sz w:val="24"/>
                <w:szCs w:val="24"/>
              </w:rPr>
              <w:t>RiverManagement</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DamsQuality</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DeterioratingInfrastructure</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DrainageSystems</w:t>
            </w:r>
            <w:proofErr w:type="spellEnd"/>
          </w:p>
        </w:tc>
        <w:tc>
          <w:tcPr>
            <w:tcW w:w="4729"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Condition of water control &amp; drainage infrastructure</w:t>
            </w:r>
          </w:p>
        </w:tc>
      </w:tr>
      <w:tr w:rsidR="00C50FA4" w:rsidRPr="00E64653" w:rsidTr="00EA1C56">
        <w:tc>
          <w:tcPr>
            <w:tcW w:w="18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Socio-Physical</w:t>
            </w:r>
          </w:p>
        </w:tc>
        <w:tc>
          <w:tcPr>
            <w:tcW w:w="31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 xml:space="preserve">Urbanization, </w:t>
            </w:r>
            <w:proofErr w:type="spellStart"/>
            <w:r w:rsidRPr="00E64653">
              <w:rPr>
                <w:rFonts w:ascii="Times New Roman" w:hAnsi="Times New Roman" w:cs="Times New Roman"/>
                <w:sz w:val="24"/>
                <w:szCs w:val="24"/>
              </w:rPr>
              <w:t>PopulationScore</w:t>
            </w:r>
            <w:proofErr w:type="spellEnd"/>
            <w:r w:rsidRPr="00E64653">
              <w:rPr>
                <w:rFonts w:ascii="Times New Roman" w:hAnsi="Times New Roman" w:cs="Times New Roman"/>
                <w:sz w:val="24"/>
                <w:szCs w:val="24"/>
              </w:rPr>
              <w:t xml:space="preserve">, Encroachments, </w:t>
            </w:r>
            <w:proofErr w:type="spellStart"/>
            <w:r w:rsidRPr="00E64653">
              <w:rPr>
                <w:rFonts w:ascii="Times New Roman" w:hAnsi="Times New Roman" w:cs="Times New Roman"/>
                <w:sz w:val="24"/>
                <w:szCs w:val="24"/>
              </w:rPr>
              <w:t>InadequatePlanning</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AgriculturalPractices</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CoastalVulnerability</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PoliticalFactors</w:t>
            </w:r>
            <w:proofErr w:type="spellEnd"/>
            <w:r w:rsidRPr="00E64653">
              <w:rPr>
                <w:rFonts w:ascii="Times New Roman" w:hAnsi="Times New Roman" w:cs="Times New Roman"/>
                <w:sz w:val="24"/>
                <w:szCs w:val="24"/>
              </w:rPr>
              <w:t xml:space="preserve">, </w:t>
            </w:r>
            <w:proofErr w:type="spellStart"/>
            <w:r w:rsidRPr="00E64653">
              <w:rPr>
                <w:rFonts w:ascii="Times New Roman" w:hAnsi="Times New Roman" w:cs="Times New Roman"/>
                <w:sz w:val="24"/>
                <w:szCs w:val="24"/>
              </w:rPr>
              <w:t>IneffectiveDisasterPreparedness</w:t>
            </w:r>
            <w:proofErr w:type="spellEnd"/>
          </w:p>
        </w:tc>
        <w:tc>
          <w:tcPr>
            <w:tcW w:w="4729"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Human activity, governance, and population vulnerability indicators</w:t>
            </w:r>
          </w:p>
        </w:tc>
      </w:tr>
      <w:tr w:rsidR="00C50FA4" w:rsidRPr="00E64653" w:rsidTr="00EA1C56">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Target</w:t>
            </w:r>
          </w:p>
        </w:tc>
        <w:tc>
          <w:tcPr>
            <w:tcW w:w="31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proofErr w:type="spellStart"/>
            <w:r w:rsidRPr="00E64653">
              <w:rPr>
                <w:rFonts w:ascii="Times New Roman" w:hAnsi="Times New Roman" w:cs="Times New Roman"/>
                <w:sz w:val="24"/>
                <w:szCs w:val="24"/>
              </w:rPr>
              <w:t>FloodProbability</w:t>
            </w:r>
            <w:proofErr w:type="spellEnd"/>
          </w:p>
        </w:tc>
        <w:tc>
          <w:tcPr>
            <w:tcW w:w="4729"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Continuous flood probability [0.0 – 1.0]</w:t>
            </w:r>
          </w:p>
        </w:tc>
      </w:tr>
    </w:tbl>
    <w:p w:rsidR="00C50FA4" w:rsidRPr="00E64653" w:rsidRDefault="00C50FA4">
      <w:pPr>
        <w:spacing w:before="140"/>
        <w:rPr>
          <w:rFonts w:ascii="Times New Roman" w:hAnsi="Times New Roman" w:cs="Times New Roman"/>
          <w:sz w:val="24"/>
          <w:szCs w:val="24"/>
        </w:rPr>
      </w:pPr>
    </w:p>
    <w:p w:rsidR="00C50FA4" w:rsidRPr="0018016D" w:rsidRDefault="00783D7D">
      <w:pPr>
        <w:pBdr>
          <w:bottom w:val="single" w:sz="4" w:space="2" w:color="2E3192"/>
        </w:pBdr>
        <w:spacing w:before="280" w:after="120"/>
        <w:rPr>
          <w:rFonts w:ascii="Times New Roman" w:hAnsi="Times New Roman" w:cs="Times New Roman"/>
          <w:sz w:val="28"/>
          <w:szCs w:val="24"/>
        </w:rPr>
      </w:pPr>
      <w:r w:rsidRPr="0018016D">
        <w:rPr>
          <w:rFonts w:ascii="Times New Roman" w:hAnsi="Times New Roman" w:cs="Times New Roman"/>
          <w:b/>
          <w:bCs/>
          <w:color w:val="2E3192"/>
          <w:sz w:val="28"/>
          <w:szCs w:val="24"/>
        </w:rPr>
        <w:t>4. Proposed Methodology</w:t>
      </w:r>
    </w:p>
    <w:p w:rsidR="00C50FA4" w:rsidRPr="0018016D" w:rsidRDefault="00783D7D">
      <w:pPr>
        <w:spacing w:before="200" w:after="80"/>
        <w:rPr>
          <w:rFonts w:ascii="Times New Roman" w:hAnsi="Times New Roman" w:cs="Times New Roman"/>
          <w:sz w:val="28"/>
          <w:szCs w:val="24"/>
        </w:rPr>
      </w:pPr>
      <w:r w:rsidRPr="0018016D">
        <w:rPr>
          <w:rFonts w:ascii="Times New Roman" w:hAnsi="Times New Roman" w:cs="Times New Roman"/>
          <w:b/>
          <w:bCs/>
          <w:color w:val="1F497D"/>
          <w:sz w:val="28"/>
          <w:szCs w:val="24"/>
        </w:rPr>
        <w:t>4.1 Data Preprocessing</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All 21 features were normalized using Min-Max scaling to the range [0,1] to ensure stable gradient flow during DNN training. The dataset was split into training (70%), validation (15%), and test (15%) sets using stratified random sampling. No feature engineering or dimensionality reduction was applied, allowing the DNN to learn feature interactions autonomously.</w:t>
      </w:r>
    </w:p>
    <w:p w:rsidR="00C50FA4" w:rsidRPr="0018016D" w:rsidRDefault="00783D7D">
      <w:pPr>
        <w:spacing w:before="200" w:after="80"/>
        <w:rPr>
          <w:rFonts w:ascii="Times New Roman" w:hAnsi="Times New Roman" w:cs="Times New Roman"/>
          <w:sz w:val="28"/>
          <w:szCs w:val="24"/>
        </w:rPr>
      </w:pPr>
      <w:r w:rsidRPr="0018016D">
        <w:rPr>
          <w:rFonts w:ascii="Times New Roman" w:hAnsi="Times New Roman" w:cs="Times New Roman"/>
          <w:b/>
          <w:bCs/>
          <w:color w:val="1F497D"/>
          <w:sz w:val="28"/>
          <w:szCs w:val="24"/>
        </w:rPr>
        <w:t>4.2 DNN Architecture</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The proposed DNN architecture consists of five layers: an input layer of 21 neurons, three progressively narrowing hidden layers (256→128→64→32 neurons) using </w:t>
      </w:r>
      <w:proofErr w:type="spellStart"/>
      <w:r w:rsidRPr="00E64653">
        <w:rPr>
          <w:rFonts w:ascii="Times New Roman" w:hAnsi="Times New Roman" w:cs="Times New Roman"/>
          <w:sz w:val="24"/>
          <w:szCs w:val="24"/>
        </w:rPr>
        <w:t>ReLU</w:t>
      </w:r>
      <w:proofErr w:type="spellEnd"/>
      <w:r w:rsidRPr="00E64653">
        <w:rPr>
          <w:rFonts w:ascii="Times New Roman" w:hAnsi="Times New Roman" w:cs="Times New Roman"/>
          <w:sz w:val="24"/>
          <w:szCs w:val="24"/>
        </w:rPr>
        <w:t xml:space="preserve"> activations, Batch Normalization, and Dropout (rates: 0.3, 0.2, 0.0, 0.0), and a single-neuron output layer with Sigmoid activation for flood probability regression. Adam optimizer (</w:t>
      </w:r>
      <w:proofErr w:type="spellStart"/>
      <w:r w:rsidRPr="00E64653">
        <w:rPr>
          <w:rFonts w:ascii="Times New Roman" w:hAnsi="Times New Roman" w:cs="Times New Roman"/>
          <w:sz w:val="24"/>
          <w:szCs w:val="24"/>
        </w:rPr>
        <w:t>lr</w:t>
      </w:r>
      <w:proofErr w:type="spellEnd"/>
      <w:r w:rsidRPr="00E64653">
        <w:rPr>
          <w:rFonts w:ascii="Times New Roman" w:hAnsi="Times New Roman" w:cs="Times New Roman"/>
          <w:sz w:val="24"/>
          <w:szCs w:val="24"/>
        </w:rPr>
        <w:t xml:space="preserve"> = 0.001) with MSE loss and early stopping (patience = 10) were used. Fig. 1 illustrates the architecture.</w:t>
      </w:r>
    </w:p>
    <w:p w:rsidR="00C50FA4" w:rsidRPr="00E64653" w:rsidRDefault="00C50FA4">
      <w:pPr>
        <w:spacing w:before="60"/>
        <w:rPr>
          <w:rFonts w:ascii="Times New Roman" w:hAnsi="Times New Roman" w:cs="Times New Roman"/>
          <w:sz w:val="24"/>
          <w:szCs w:val="24"/>
        </w:rPr>
      </w:pPr>
    </w:p>
    <w:p w:rsidR="00C50FA4" w:rsidRPr="00E64653" w:rsidRDefault="00E64653">
      <w:pPr>
        <w:spacing w:before="80" w:after="40"/>
        <w:jc w:val="center"/>
        <w:rPr>
          <w:rFonts w:ascii="Times New Roman" w:hAnsi="Times New Roman" w:cs="Times New Roman"/>
          <w:sz w:val="24"/>
          <w:szCs w:val="24"/>
        </w:rPr>
      </w:pPr>
      <w:r w:rsidRPr="00E64653">
        <w:rPr>
          <w:rFonts w:ascii="Times New Roman" w:hAnsi="Times New Roman" w:cs="Times New Roman"/>
          <w:noProof/>
          <w:sz w:val="24"/>
          <w:szCs w:val="24"/>
        </w:rPr>
        <w:drawing>
          <wp:inline distT="0" distB="0" distL="0" distR="0">
            <wp:extent cx="6119495" cy="3047813"/>
            <wp:effectExtent l="0" t="0" r="0" b="635"/>
            <wp:docPr id="6" name="Picture 6" descr="C:\Users\HP\Downloads\ChatGPT Image Jun 12, 2026, 12_04_2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ChatGPT Image Jun 12, 2026, 12_04_21 PM.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7251"/>
                    <a:stretch/>
                  </pic:blipFill>
                  <pic:spPr bwMode="auto">
                    <a:xfrm>
                      <a:off x="0" y="0"/>
                      <a:ext cx="6127443" cy="3051772"/>
                    </a:xfrm>
                    <a:prstGeom prst="rect">
                      <a:avLst/>
                    </a:prstGeom>
                    <a:noFill/>
                    <a:ln>
                      <a:noFill/>
                    </a:ln>
                    <a:extLst>
                      <a:ext uri="{53640926-AAD7-44D8-BBD7-CCE9431645EC}">
                        <a14:shadowObscured xmlns:a14="http://schemas.microsoft.com/office/drawing/2010/main"/>
                      </a:ext>
                    </a:extLst>
                  </pic:spPr>
                </pic:pic>
              </a:graphicData>
            </a:graphic>
          </wp:inline>
        </w:drawing>
      </w:r>
    </w:p>
    <w:p w:rsidR="00C50FA4" w:rsidRPr="0018016D" w:rsidRDefault="00783D7D">
      <w:pPr>
        <w:spacing w:before="60" w:after="140"/>
        <w:jc w:val="center"/>
        <w:rPr>
          <w:rFonts w:ascii="Times New Roman" w:hAnsi="Times New Roman" w:cs="Times New Roman"/>
          <w:b/>
          <w:sz w:val="24"/>
          <w:szCs w:val="24"/>
        </w:rPr>
      </w:pPr>
      <w:r w:rsidRPr="0018016D">
        <w:rPr>
          <w:rFonts w:ascii="Times New Roman" w:hAnsi="Times New Roman" w:cs="Times New Roman"/>
          <w:b/>
          <w:iCs/>
          <w:color w:val="555555"/>
          <w:sz w:val="24"/>
          <w:szCs w:val="24"/>
        </w:rPr>
        <w:t>Fig. 1: Proposed Deep Neural Network Architecture for Flood Risk Prediction</w:t>
      </w:r>
    </w:p>
    <w:p w:rsidR="00C50FA4" w:rsidRPr="0018016D" w:rsidRDefault="00783D7D">
      <w:pPr>
        <w:spacing w:before="200" w:after="80"/>
        <w:rPr>
          <w:rFonts w:ascii="Times New Roman" w:hAnsi="Times New Roman" w:cs="Times New Roman"/>
          <w:sz w:val="28"/>
          <w:szCs w:val="24"/>
        </w:rPr>
      </w:pPr>
      <w:r w:rsidRPr="0018016D">
        <w:rPr>
          <w:rFonts w:ascii="Times New Roman" w:hAnsi="Times New Roman" w:cs="Times New Roman"/>
          <w:b/>
          <w:bCs/>
          <w:color w:val="1F497D"/>
          <w:sz w:val="28"/>
          <w:szCs w:val="24"/>
        </w:rPr>
        <w:lastRenderedPageBreak/>
        <w:t>4.3 Baseline Models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Three classical ML baselines were evaluated: Logistic Regression (LR) as a linear benchmark; Support Vector Machine (SVM) with RBF kernel; and Random Forest (RF) with 100 estimators. All models used identical preprocessing pipelines and test splits. The implementation followed the publicly available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notebook [20b]: https://www.kaggle.com/code/ahmed1harfoush/flood-monitoring-and-prediction.</w:t>
      </w:r>
    </w:p>
    <w:p w:rsidR="00C50FA4" w:rsidRPr="0018016D" w:rsidRDefault="00783D7D">
      <w:pPr>
        <w:spacing w:before="200" w:after="80"/>
        <w:rPr>
          <w:rFonts w:ascii="Times New Roman" w:hAnsi="Times New Roman" w:cs="Times New Roman"/>
          <w:sz w:val="28"/>
          <w:szCs w:val="24"/>
        </w:rPr>
      </w:pPr>
      <w:r w:rsidRPr="0018016D">
        <w:rPr>
          <w:rFonts w:ascii="Times New Roman" w:hAnsi="Times New Roman" w:cs="Times New Roman"/>
          <w:b/>
          <w:bCs/>
          <w:color w:val="1F497D"/>
          <w:sz w:val="28"/>
          <w:szCs w:val="24"/>
        </w:rPr>
        <w:t>4.4 Evaluation Metrics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Performance was assessed using: Mean Absolute Error (MAE), Root Mean Squared Error (RMSE), R² Score, and Accuracy (%). Feature importance was derived via permutation importance — shuffling each feature and measuring the resulting drop in R².</w:t>
      </w:r>
    </w:p>
    <w:p w:rsidR="00C50FA4" w:rsidRPr="00E64653" w:rsidRDefault="00C50FA4">
      <w:pPr>
        <w:spacing w:before="80"/>
        <w:rPr>
          <w:rFonts w:ascii="Times New Roman" w:hAnsi="Times New Roman" w:cs="Times New Roman"/>
          <w:sz w:val="24"/>
          <w:szCs w:val="24"/>
        </w:rPr>
      </w:pPr>
    </w:p>
    <w:p w:rsidR="00C50FA4" w:rsidRPr="0018016D" w:rsidRDefault="00783D7D">
      <w:pPr>
        <w:pBdr>
          <w:bottom w:val="single" w:sz="4" w:space="2" w:color="2E3192"/>
        </w:pBdr>
        <w:spacing w:before="280" w:after="120"/>
        <w:rPr>
          <w:rFonts w:ascii="Times New Roman" w:hAnsi="Times New Roman" w:cs="Times New Roman"/>
          <w:sz w:val="28"/>
          <w:szCs w:val="24"/>
        </w:rPr>
      </w:pPr>
      <w:r w:rsidRPr="0018016D">
        <w:rPr>
          <w:rFonts w:ascii="Times New Roman" w:hAnsi="Times New Roman" w:cs="Times New Roman"/>
          <w:b/>
          <w:bCs/>
          <w:color w:val="2E3192"/>
          <w:sz w:val="28"/>
          <w:szCs w:val="24"/>
        </w:rPr>
        <w:t>5. Results and Discussion</w:t>
      </w:r>
    </w:p>
    <w:p w:rsidR="00C50FA4" w:rsidRPr="00E26448" w:rsidRDefault="00783D7D">
      <w:pPr>
        <w:spacing w:before="200" w:after="80"/>
        <w:rPr>
          <w:rFonts w:ascii="Times New Roman" w:hAnsi="Times New Roman" w:cs="Times New Roman"/>
          <w:sz w:val="28"/>
          <w:szCs w:val="24"/>
        </w:rPr>
      </w:pPr>
      <w:r w:rsidRPr="00E26448">
        <w:rPr>
          <w:rFonts w:ascii="Times New Roman" w:hAnsi="Times New Roman" w:cs="Times New Roman"/>
          <w:b/>
          <w:bCs/>
          <w:color w:val="1F497D"/>
          <w:sz w:val="28"/>
          <w:szCs w:val="24"/>
        </w:rPr>
        <w:t>5.1 Model Performance Comparison</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Table 2 presents comparative results. The proposed DNN consistently outperforms all baselines across every metric, demonstrating its capacity to model the non-linear, high-dimensional interactions among the 21 vulnerability indicators.</w:t>
      </w:r>
    </w:p>
    <w:p w:rsidR="00C50FA4" w:rsidRPr="00E26448" w:rsidRDefault="00C50FA4">
      <w:pPr>
        <w:spacing w:before="60"/>
        <w:rPr>
          <w:rFonts w:ascii="Times New Roman" w:hAnsi="Times New Roman" w:cs="Times New Roman"/>
          <w:sz w:val="28"/>
          <w:szCs w:val="24"/>
        </w:rPr>
      </w:pPr>
    </w:p>
    <w:p w:rsidR="00C50FA4" w:rsidRPr="00E26448" w:rsidRDefault="00783D7D">
      <w:pPr>
        <w:spacing w:after="80"/>
        <w:rPr>
          <w:rFonts w:ascii="Times New Roman" w:hAnsi="Times New Roman" w:cs="Times New Roman"/>
          <w:sz w:val="28"/>
          <w:szCs w:val="24"/>
        </w:rPr>
      </w:pPr>
      <w:r w:rsidRPr="00E26448">
        <w:rPr>
          <w:rFonts w:ascii="Times New Roman" w:hAnsi="Times New Roman" w:cs="Times New Roman"/>
          <w:b/>
          <w:bCs/>
          <w:color w:val="2E3192"/>
          <w:sz w:val="28"/>
          <w:szCs w:val="24"/>
        </w:rPr>
        <w:t>Table 2: Performance Comparison of All Models on Test Set</w:t>
      </w: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500"/>
        <w:gridCol w:w="1500"/>
        <w:gridCol w:w="1513"/>
        <w:gridCol w:w="2526"/>
      </w:tblGrid>
      <w:tr w:rsidR="00C50FA4" w:rsidRPr="00E64653" w:rsidTr="00E26448">
        <w:tc>
          <w:tcPr>
            <w:tcW w:w="25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Model</w:t>
            </w:r>
          </w:p>
        </w:tc>
        <w:tc>
          <w:tcPr>
            <w:tcW w:w="15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MAE</w:t>
            </w:r>
          </w:p>
        </w:tc>
        <w:tc>
          <w:tcPr>
            <w:tcW w:w="15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RMSE</w:t>
            </w:r>
          </w:p>
        </w:tc>
        <w:tc>
          <w:tcPr>
            <w:tcW w:w="1513"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R² Score</w:t>
            </w:r>
          </w:p>
        </w:tc>
        <w:tc>
          <w:tcPr>
            <w:tcW w:w="2526"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vAlign w:val="cente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Accuracy (%)</w:t>
            </w:r>
          </w:p>
        </w:tc>
      </w:tr>
      <w:tr w:rsidR="00C50FA4" w:rsidRPr="00E64653" w:rsidTr="00E26448">
        <w:tc>
          <w:tcPr>
            <w:tcW w:w="25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Logistic Regression</w:t>
            </w:r>
          </w:p>
        </w:tc>
        <w:tc>
          <w:tcPr>
            <w:tcW w:w="15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0.142</w:t>
            </w:r>
          </w:p>
        </w:tc>
        <w:tc>
          <w:tcPr>
            <w:tcW w:w="15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0.183</w:t>
            </w:r>
          </w:p>
        </w:tc>
        <w:tc>
          <w:tcPr>
            <w:tcW w:w="1513"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0.71</w:t>
            </w:r>
          </w:p>
        </w:tc>
        <w:tc>
          <w:tcPr>
            <w:tcW w:w="2526"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76.4</w:t>
            </w:r>
          </w:p>
        </w:tc>
      </w:tr>
      <w:tr w:rsidR="00C50FA4" w:rsidRPr="00E64653" w:rsidTr="00E26448">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Support Vector Machine</w:t>
            </w:r>
          </w:p>
        </w:tc>
        <w:tc>
          <w:tcPr>
            <w:tcW w:w="15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0.118</w:t>
            </w:r>
          </w:p>
        </w:tc>
        <w:tc>
          <w:tcPr>
            <w:tcW w:w="1500"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0.156</w:t>
            </w:r>
          </w:p>
        </w:tc>
        <w:tc>
          <w:tcPr>
            <w:tcW w:w="1513"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0.79</w:t>
            </w:r>
          </w:p>
        </w:tc>
        <w:tc>
          <w:tcPr>
            <w:tcW w:w="2526" w:type="dxa"/>
            <w:tcBorders>
              <w:top w:val="single" w:sz="1" w:space="0" w:color="AAAAAA"/>
              <w:left w:val="single" w:sz="1" w:space="0" w:color="AAAAAA"/>
              <w:bottom w:val="single" w:sz="1" w:space="0" w:color="AAAAAA"/>
              <w:right w:val="single" w:sz="1" w:space="0" w:color="AAAAAA"/>
            </w:tcBorders>
            <w:shd w:val="clear" w:color="auto" w:fill="FFFF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81.2</w:t>
            </w:r>
          </w:p>
        </w:tc>
      </w:tr>
      <w:tr w:rsidR="00C50FA4" w:rsidRPr="00E64653" w:rsidTr="00E26448">
        <w:tc>
          <w:tcPr>
            <w:tcW w:w="25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sz w:val="24"/>
                <w:szCs w:val="24"/>
              </w:rPr>
              <w:t>Random Forest</w:t>
            </w:r>
          </w:p>
        </w:tc>
        <w:tc>
          <w:tcPr>
            <w:tcW w:w="15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0.097</w:t>
            </w:r>
          </w:p>
        </w:tc>
        <w:tc>
          <w:tcPr>
            <w:tcW w:w="1500"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0.131</w:t>
            </w:r>
          </w:p>
        </w:tc>
        <w:tc>
          <w:tcPr>
            <w:tcW w:w="1513"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0.84</w:t>
            </w:r>
          </w:p>
        </w:tc>
        <w:tc>
          <w:tcPr>
            <w:tcW w:w="2526" w:type="dxa"/>
            <w:tcBorders>
              <w:top w:val="single" w:sz="1" w:space="0" w:color="AAAAAA"/>
              <w:left w:val="single" w:sz="1" w:space="0" w:color="AAAAAA"/>
              <w:bottom w:val="single" w:sz="1" w:space="0" w:color="AAAAAA"/>
              <w:right w:val="single" w:sz="1" w:space="0" w:color="AAAAAA"/>
            </w:tcBorders>
            <w:shd w:val="clear" w:color="auto" w:fill="EEF2FF"/>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sz w:val="24"/>
                <w:szCs w:val="24"/>
              </w:rPr>
              <w:t>85.7</w:t>
            </w:r>
          </w:p>
        </w:tc>
      </w:tr>
      <w:tr w:rsidR="00C50FA4" w:rsidRPr="00E64653" w:rsidTr="00E26448">
        <w:tc>
          <w:tcPr>
            <w:tcW w:w="25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tcPr>
          <w:p w:rsidR="00C50FA4" w:rsidRPr="00E64653" w:rsidRDefault="00783D7D">
            <w:pPr>
              <w:rPr>
                <w:rFonts w:ascii="Times New Roman" w:hAnsi="Times New Roman" w:cs="Times New Roman"/>
                <w:sz w:val="24"/>
                <w:szCs w:val="24"/>
              </w:rPr>
            </w:pPr>
            <w:r w:rsidRPr="00E64653">
              <w:rPr>
                <w:rFonts w:ascii="Times New Roman" w:hAnsi="Times New Roman" w:cs="Times New Roman"/>
                <w:b/>
                <w:bCs/>
                <w:color w:val="FFFFFF"/>
                <w:sz w:val="24"/>
                <w:szCs w:val="24"/>
              </w:rPr>
              <w:t>DNN (Proposed)</w:t>
            </w:r>
          </w:p>
        </w:tc>
        <w:tc>
          <w:tcPr>
            <w:tcW w:w="15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0.071</w:t>
            </w:r>
          </w:p>
        </w:tc>
        <w:tc>
          <w:tcPr>
            <w:tcW w:w="1500"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0.098</w:t>
            </w:r>
          </w:p>
        </w:tc>
        <w:tc>
          <w:tcPr>
            <w:tcW w:w="1513"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0.93</w:t>
            </w:r>
          </w:p>
        </w:tc>
        <w:tc>
          <w:tcPr>
            <w:tcW w:w="2526" w:type="dxa"/>
            <w:tcBorders>
              <w:top w:val="single" w:sz="1" w:space="0" w:color="2E3192"/>
              <w:left w:val="single" w:sz="1" w:space="0" w:color="2E3192"/>
              <w:bottom w:val="single" w:sz="1" w:space="0" w:color="2E3192"/>
              <w:right w:val="single" w:sz="1" w:space="0" w:color="2E3192"/>
            </w:tcBorders>
            <w:shd w:val="clear" w:color="auto" w:fill="2E3192"/>
            <w:tcMar>
              <w:top w:w="70" w:type="dxa"/>
              <w:left w:w="110" w:type="dxa"/>
              <w:bottom w:w="70" w:type="dxa"/>
              <w:right w:w="110" w:type="dxa"/>
            </w:tcMar>
          </w:tcPr>
          <w:p w:rsidR="00C50FA4" w:rsidRPr="00E64653" w:rsidRDefault="00783D7D">
            <w:pPr>
              <w:jc w:val="center"/>
              <w:rPr>
                <w:rFonts w:ascii="Times New Roman" w:hAnsi="Times New Roman" w:cs="Times New Roman"/>
                <w:sz w:val="24"/>
                <w:szCs w:val="24"/>
              </w:rPr>
            </w:pPr>
            <w:r w:rsidRPr="00E64653">
              <w:rPr>
                <w:rFonts w:ascii="Times New Roman" w:hAnsi="Times New Roman" w:cs="Times New Roman"/>
                <w:b/>
                <w:bCs/>
                <w:color w:val="FFFFFF"/>
                <w:sz w:val="24"/>
                <w:szCs w:val="24"/>
              </w:rPr>
              <w:t>91.8</w:t>
            </w:r>
          </w:p>
        </w:tc>
      </w:tr>
    </w:tbl>
    <w:p w:rsidR="00C50FA4" w:rsidRPr="00E64653" w:rsidRDefault="00C50FA4">
      <w:pPr>
        <w:spacing w:before="140"/>
        <w:rPr>
          <w:rFonts w:ascii="Times New Roman" w:hAnsi="Times New Roman" w:cs="Times New Roman"/>
          <w:sz w:val="24"/>
          <w:szCs w:val="24"/>
        </w:rPr>
      </w:pPr>
    </w:p>
    <w:p w:rsidR="00C50FA4" w:rsidRPr="00E64653" w:rsidRDefault="00783D7D">
      <w:pPr>
        <w:spacing w:before="80" w:after="40"/>
        <w:jc w:val="center"/>
        <w:rPr>
          <w:rFonts w:ascii="Times New Roman" w:hAnsi="Times New Roman" w:cs="Times New Roman"/>
          <w:sz w:val="24"/>
          <w:szCs w:val="24"/>
        </w:rPr>
      </w:pPr>
      <w:r w:rsidRPr="00E64653">
        <w:rPr>
          <w:rFonts w:ascii="Times New Roman" w:hAnsi="Times New Roman" w:cs="Times New Roman"/>
          <w:noProof/>
          <w:sz w:val="24"/>
          <w:szCs w:val="24"/>
        </w:rPr>
        <w:drawing>
          <wp:inline distT="0" distB="0" distL="0" distR="0">
            <wp:extent cx="5972175" cy="2647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6"/>
                    <a:srcRect t="7983"/>
                    <a:stretch/>
                  </pic:blipFill>
                  <pic:spPr bwMode="auto">
                    <a:xfrm>
                      <a:off x="0" y="0"/>
                      <a:ext cx="5972175" cy="2647950"/>
                    </a:xfrm>
                    <a:prstGeom prst="rect">
                      <a:avLst/>
                    </a:prstGeom>
                    <a:ln>
                      <a:noFill/>
                    </a:ln>
                    <a:extLst>
                      <a:ext uri="{53640926-AAD7-44D8-BBD7-CCE9431645EC}">
                        <a14:shadowObscured xmlns:a14="http://schemas.microsoft.com/office/drawing/2010/main"/>
                      </a:ext>
                    </a:extLst>
                  </pic:spPr>
                </pic:pic>
              </a:graphicData>
            </a:graphic>
          </wp:inline>
        </w:drawing>
      </w:r>
    </w:p>
    <w:p w:rsidR="00C50FA4" w:rsidRPr="00E26448" w:rsidRDefault="00783D7D">
      <w:pPr>
        <w:spacing w:before="60" w:after="140"/>
        <w:jc w:val="center"/>
        <w:rPr>
          <w:rFonts w:ascii="Times New Roman" w:hAnsi="Times New Roman" w:cs="Times New Roman"/>
          <w:b/>
          <w:sz w:val="24"/>
          <w:szCs w:val="24"/>
        </w:rPr>
      </w:pPr>
      <w:r w:rsidRPr="00E26448">
        <w:rPr>
          <w:rFonts w:ascii="Times New Roman" w:hAnsi="Times New Roman" w:cs="Times New Roman"/>
          <w:b/>
          <w:iCs/>
          <w:color w:val="555555"/>
          <w:sz w:val="24"/>
          <w:szCs w:val="24"/>
        </w:rPr>
        <w:t>Fig. 2: Performance Comparison — Accuracy (%), R² Score, and RMSE Across All Models</w:t>
      </w:r>
    </w:p>
    <w:p w:rsidR="00C50FA4" w:rsidRPr="00E26448" w:rsidRDefault="00783D7D">
      <w:pPr>
        <w:spacing w:before="200" w:after="80"/>
        <w:rPr>
          <w:rFonts w:ascii="Times New Roman" w:hAnsi="Times New Roman" w:cs="Times New Roman"/>
          <w:sz w:val="28"/>
          <w:szCs w:val="24"/>
        </w:rPr>
      </w:pPr>
      <w:r w:rsidRPr="00E26448">
        <w:rPr>
          <w:rFonts w:ascii="Times New Roman" w:hAnsi="Times New Roman" w:cs="Times New Roman"/>
          <w:b/>
          <w:bCs/>
          <w:color w:val="1F497D"/>
          <w:sz w:val="28"/>
          <w:szCs w:val="24"/>
        </w:rPr>
        <w:lastRenderedPageBreak/>
        <w:t>5.2 Training Convergence</w:t>
      </w:r>
    </w:p>
    <w:p w:rsidR="00C50FA4" w:rsidRPr="00E64653" w:rsidRDefault="00BA0BDF">
      <w:pPr>
        <w:spacing w:before="60" w:after="60" w:line="268" w:lineRule="auto"/>
        <w:jc w:val="both"/>
        <w:rPr>
          <w:rFonts w:ascii="Times New Roman" w:hAnsi="Times New Roman" w:cs="Times New Roman"/>
          <w:sz w:val="24"/>
          <w:szCs w:val="24"/>
        </w:rPr>
      </w:pPr>
      <w:r>
        <w:rPr>
          <w:rFonts w:ascii="Times New Roman" w:hAnsi="Times New Roman" w:cs="Times New Roman"/>
          <w:sz w:val="24"/>
          <w:szCs w:val="24"/>
        </w:rPr>
        <w:t xml:space="preserve">Fig. </w:t>
      </w:r>
      <w:proofErr w:type="gramStart"/>
      <w:r>
        <w:rPr>
          <w:rFonts w:ascii="Times New Roman" w:hAnsi="Times New Roman" w:cs="Times New Roman"/>
          <w:sz w:val="24"/>
          <w:szCs w:val="24"/>
        </w:rPr>
        <w:t xml:space="preserve">3 </w:t>
      </w:r>
      <w:r w:rsidR="00783D7D" w:rsidRPr="00E64653">
        <w:rPr>
          <w:rFonts w:ascii="Times New Roman" w:hAnsi="Times New Roman" w:cs="Times New Roman"/>
          <w:sz w:val="24"/>
          <w:szCs w:val="24"/>
        </w:rPr>
        <w:t xml:space="preserve"> shows</w:t>
      </w:r>
      <w:proofErr w:type="gramEnd"/>
      <w:r w:rsidR="00783D7D" w:rsidRPr="00E64653">
        <w:rPr>
          <w:rFonts w:ascii="Times New Roman" w:hAnsi="Times New Roman" w:cs="Times New Roman"/>
          <w:sz w:val="24"/>
          <w:szCs w:val="24"/>
        </w:rPr>
        <w:t xml:space="preserve"> the DNN training and validation loss/accuracy curves over 50 epochs. The model converges stably by epoch ~35, with training accuracy reaching 93.2% and validation accuracy 91.5%, confirming no overfitting. The early stopping mechanism triggered at epoch 44, preventing unnecessary computation while preserving optimal weights.</w:t>
      </w:r>
    </w:p>
    <w:p w:rsidR="00C50FA4" w:rsidRPr="00E64653" w:rsidRDefault="00783D7D">
      <w:pPr>
        <w:spacing w:before="80" w:after="40"/>
        <w:jc w:val="center"/>
        <w:rPr>
          <w:rFonts w:ascii="Times New Roman" w:hAnsi="Times New Roman" w:cs="Times New Roman"/>
          <w:sz w:val="24"/>
          <w:szCs w:val="24"/>
        </w:rPr>
      </w:pPr>
      <w:r w:rsidRPr="00E64653">
        <w:rPr>
          <w:rFonts w:ascii="Times New Roman" w:hAnsi="Times New Roman" w:cs="Times New Roman"/>
          <w:noProof/>
          <w:sz w:val="24"/>
          <w:szCs w:val="24"/>
        </w:rPr>
        <w:drawing>
          <wp:inline distT="0" distB="0" distL="0" distR="0">
            <wp:extent cx="5972175" cy="2381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8366"/>
                    <a:stretch/>
                  </pic:blipFill>
                  <pic:spPr bwMode="auto">
                    <a:xfrm>
                      <a:off x="0" y="0"/>
                      <a:ext cx="5972175" cy="2381250"/>
                    </a:xfrm>
                    <a:prstGeom prst="rect">
                      <a:avLst/>
                    </a:prstGeom>
                    <a:ln>
                      <a:noFill/>
                    </a:ln>
                    <a:extLst>
                      <a:ext uri="{53640926-AAD7-44D8-BBD7-CCE9431645EC}">
                        <a14:shadowObscured xmlns:a14="http://schemas.microsoft.com/office/drawing/2010/main"/>
                      </a:ext>
                    </a:extLst>
                  </pic:spPr>
                </pic:pic>
              </a:graphicData>
            </a:graphic>
          </wp:inline>
        </w:drawing>
      </w:r>
    </w:p>
    <w:p w:rsidR="00C50FA4" w:rsidRPr="00BA0BDF" w:rsidRDefault="00783D7D">
      <w:pPr>
        <w:spacing w:before="60" w:after="140"/>
        <w:jc w:val="center"/>
        <w:rPr>
          <w:rFonts w:ascii="Times New Roman" w:hAnsi="Times New Roman" w:cs="Times New Roman"/>
          <w:b/>
          <w:sz w:val="24"/>
          <w:szCs w:val="24"/>
        </w:rPr>
      </w:pPr>
      <w:r w:rsidRPr="00BA0BDF">
        <w:rPr>
          <w:rFonts w:ascii="Times New Roman" w:hAnsi="Times New Roman" w:cs="Times New Roman"/>
          <w:b/>
          <w:iCs/>
          <w:color w:val="555555"/>
          <w:sz w:val="24"/>
          <w:szCs w:val="24"/>
        </w:rPr>
        <w:t>Fig. 3: DNN Training and Validation Loss &amp; Accuracy Convergence Curves (50 Epochs)</w:t>
      </w:r>
    </w:p>
    <w:p w:rsidR="00C50FA4" w:rsidRPr="00BA0BDF" w:rsidRDefault="00783D7D">
      <w:pPr>
        <w:spacing w:before="200" w:after="80"/>
        <w:rPr>
          <w:rFonts w:ascii="Times New Roman" w:hAnsi="Times New Roman" w:cs="Times New Roman"/>
          <w:sz w:val="28"/>
          <w:szCs w:val="24"/>
        </w:rPr>
      </w:pPr>
      <w:r w:rsidRPr="00BA0BDF">
        <w:rPr>
          <w:rFonts w:ascii="Times New Roman" w:hAnsi="Times New Roman" w:cs="Times New Roman"/>
          <w:b/>
          <w:bCs/>
          <w:color w:val="1F497D"/>
          <w:sz w:val="28"/>
          <w:szCs w:val="24"/>
        </w:rPr>
        <w:t>5.3 Feature Importance Analysis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Permutation importance analysis (Fig. 4) reveals that </w:t>
      </w:r>
      <w:proofErr w:type="spellStart"/>
      <w:r w:rsidRPr="00E64653">
        <w:rPr>
          <w:rFonts w:ascii="Times New Roman" w:hAnsi="Times New Roman" w:cs="Times New Roman"/>
          <w:sz w:val="24"/>
          <w:szCs w:val="24"/>
        </w:rPr>
        <w:t>MonsoonIntensity</w:t>
      </w:r>
      <w:proofErr w:type="spellEnd"/>
      <w:r w:rsidRPr="00E64653">
        <w:rPr>
          <w:rFonts w:ascii="Times New Roman" w:hAnsi="Times New Roman" w:cs="Times New Roman"/>
          <w:sz w:val="24"/>
          <w:szCs w:val="24"/>
        </w:rPr>
        <w:t xml:space="preserve"> (0.187) is the single most influential predictor, followed by </w:t>
      </w:r>
      <w:proofErr w:type="spellStart"/>
      <w:r w:rsidRPr="00E64653">
        <w:rPr>
          <w:rFonts w:ascii="Times New Roman" w:hAnsi="Times New Roman" w:cs="Times New Roman"/>
          <w:sz w:val="24"/>
          <w:szCs w:val="24"/>
        </w:rPr>
        <w:t>TopographyDrainage</w:t>
      </w:r>
      <w:proofErr w:type="spellEnd"/>
      <w:r w:rsidRPr="00E64653">
        <w:rPr>
          <w:rFonts w:ascii="Times New Roman" w:hAnsi="Times New Roman" w:cs="Times New Roman"/>
          <w:sz w:val="24"/>
          <w:szCs w:val="24"/>
        </w:rPr>
        <w:t xml:space="preserve"> (0.143) and Deforestation (0.121). The strong influence of </w:t>
      </w:r>
      <w:proofErr w:type="spellStart"/>
      <w:r w:rsidRPr="00E64653">
        <w:rPr>
          <w:rFonts w:ascii="Times New Roman" w:hAnsi="Times New Roman" w:cs="Times New Roman"/>
          <w:sz w:val="24"/>
          <w:szCs w:val="24"/>
        </w:rPr>
        <w:t>WetlandLoss</w:t>
      </w:r>
      <w:proofErr w:type="spellEnd"/>
      <w:r w:rsidRPr="00E64653">
        <w:rPr>
          <w:rFonts w:ascii="Times New Roman" w:hAnsi="Times New Roman" w:cs="Times New Roman"/>
          <w:sz w:val="24"/>
          <w:szCs w:val="24"/>
        </w:rPr>
        <w:t xml:space="preserve"> (0.098) and Watersheds (0.087) highlights that natural ecosystem buffers, when degraded, significantly amplify flood probability. These findings carry direct implications for the conference theme: hill ecosystem integrity — particularly forest cover, wetland preservation, and watershed health — is not merely an environmental concern but a critical determinant of human survival in hill-adjacent communities.</w:t>
      </w:r>
    </w:p>
    <w:p w:rsidR="00C50FA4" w:rsidRPr="00E64653" w:rsidRDefault="00C50FA4">
      <w:pPr>
        <w:spacing w:before="60"/>
        <w:rPr>
          <w:rFonts w:ascii="Times New Roman" w:hAnsi="Times New Roman" w:cs="Times New Roman"/>
          <w:sz w:val="24"/>
          <w:szCs w:val="24"/>
        </w:rPr>
      </w:pPr>
    </w:p>
    <w:p w:rsidR="00C50FA4" w:rsidRPr="00E64653" w:rsidRDefault="00783D7D">
      <w:pPr>
        <w:spacing w:before="80" w:after="40"/>
        <w:jc w:val="center"/>
        <w:rPr>
          <w:rFonts w:ascii="Times New Roman" w:hAnsi="Times New Roman" w:cs="Times New Roman"/>
          <w:sz w:val="24"/>
          <w:szCs w:val="24"/>
        </w:rPr>
      </w:pPr>
      <w:r w:rsidRPr="00E64653">
        <w:rPr>
          <w:rFonts w:ascii="Times New Roman" w:hAnsi="Times New Roman" w:cs="Times New Roman"/>
          <w:noProof/>
          <w:sz w:val="24"/>
          <w:szCs w:val="24"/>
        </w:rPr>
        <w:drawing>
          <wp:inline distT="0" distB="0" distL="0" distR="0">
            <wp:extent cx="5972175" cy="3295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7536"/>
                    <a:stretch/>
                  </pic:blipFill>
                  <pic:spPr bwMode="auto">
                    <a:xfrm>
                      <a:off x="0" y="0"/>
                      <a:ext cx="5972175" cy="3295650"/>
                    </a:xfrm>
                    <a:prstGeom prst="rect">
                      <a:avLst/>
                    </a:prstGeom>
                    <a:ln>
                      <a:noFill/>
                    </a:ln>
                    <a:extLst>
                      <a:ext uri="{53640926-AAD7-44D8-BBD7-CCE9431645EC}">
                        <a14:shadowObscured xmlns:a14="http://schemas.microsoft.com/office/drawing/2010/main"/>
                      </a:ext>
                    </a:extLst>
                  </pic:spPr>
                </pic:pic>
              </a:graphicData>
            </a:graphic>
          </wp:inline>
        </w:drawing>
      </w:r>
    </w:p>
    <w:p w:rsidR="00C50FA4" w:rsidRPr="00BA0BDF" w:rsidRDefault="00783D7D">
      <w:pPr>
        <w:spacing w:before="60" w:after="140"/>
        <w:jc w:val="center"/>
        <w:rPr>
          <w:rFonts w:ascii="Times New Roman" w:hAnsi="Times New Roman" w:cs="Times New Roman"/>
          <w:b/>
          <w:sz w:val="24"/>
          <w:szCs w:val="24"/>
        </w:rPr>
      </w:pPr>
      <w:r w:rsidRPr="00BA0BDF">
        <w:rPr>
          <w:rFonts w:ascii="Times New Roman" w:hAnsi="Times New Roman" w:cs="Times New Roman"/>
          <w:b/>
          <w:iCs/>
          <w:color w:val="555555"/>
          <w:sz w:val="24"/>
          <w:szCs w:val="24"/>
        </w:rPr>
        <w:t>Fig. 4: Top 12 Feature Importance Scores via Permutation Analysis</w:t>
      </w:r>
    </w:p>
    <w:p w:rsidR="00E64653" w:rsidRDefault="00E64653">
      <w:pPr>
        <w:spacing w:before="200" w:after="80"/>
        <w:rPr>
          <w:rFonts w:ascii="Times New Roman" w:hAnsi="Times New Roman" w:cs="Times New Roman"/>
          <w:b/>
          <w:bCs/>
          <w:color w:val="1F497D"/>
          <w:sz w:val="24"/>
          <w:szCs w:val="24"/>
        </w:rPr>
      </w:pPr>
    </w:p>
    <w:p w:rsidR="00C50FA4" w:rsidRPr="00E64653" w:rsidRDefault="00E64653">
      <w:pPr>
        <w:spacing w:before="200" w:after="80"/>
        <w:rPr>
          <w:rFonts w:ascii="Times New Roman" w:hAnsi="Times New Roman" w:cs="Times New Roman"/>
          <w:sz w:val="24"/>
          <w:szCs w:val="24"/>
        </w:rPr>
      </w:pPr>
      <w:r w:rsidRPr="00BA0BDF">
        <w:rPr>
          <w:rFonts w:ascii="Times New Roman" w:hAnsi="Times New Roman" w:cs="Times New Roman"/>
          <w:b/>
          <w:bCs/>
          <w:color w:val="1F497D"/>
          <w:sz w:val="28"/>
          <w:szCs w:val="24"/>
        </w:rPr>
        <w:t>5.</w:t>
      </w:r>
      <w:r w:rsidR="00783D7D" w:rsidRPr="00BA0BDF">
        <w:rPr>
          <w:rFonts w:ascii="Times New Roman" w:hAnsi="Times New Roman" w:cs="Times New Roman"/>
          <w:b/>
          <w:bCs/>
          <w:color w:val="1F497D"/>
          <w:sz w:val="28"/>
          <w:szCs w:val="24"/>
        </w:rPr>
        <w:t>4 Correlation Analysis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The Pearson correlation </w:t>
      </w:r>
      <w:proofErr w:type="spellStart"/>
      <w:r w:rsidRPr="00E64653">
        <w:rPr>
          <w:rFonts w:ascii="Times New Roman" w:hAnsi="Times New Roman" w:cs="Times New Roman"/>
          <w:sz w:val="24"/>
          <w:szCs w:val="24"/>
        </w:rPr>
        <w:t>heatmap</w:t>
      </w:r>
      <w:proofErr w:type="spellEnd"/>
      <w:r w:rsidRPr="00E64653">
        <w:rPr>
          <w:rFonts w:ascii="Times New Roman" w:hAnsi="Times New Roman" w:cs="Times New Roman"/>
          <w:sz w:val="24"/>
          <w:szCs w:val="24"/>
        </w:rPr>
        <w:t xml:space="preserve"> (Fig. 5) illustrates the inter-feature relationships for the top predictors. </w:t>
      </w:r>
      <w:proofErr w:type="spellStart"/>
      <w:r w:rsidRPr="00E64653">
        <w:rPr>
          <w:rFonts w:ascii="Times New Roman" w:hAnsi="Times New Roman" w:cs="Times New Roman"/>
          <w:sz w:val="24"/>
          <w:szCs w:val="24"/>
        </w:rPr>
        <w:t>MonsoonIntensity</w:t>
      </w:r>
      <w:proofErr w:type="spellEnd"/>
      <w:r w:rsidRPr="00E64653">
        <w:rPr>
          <w:rFonts w:ascii="Times New Roman" w:hAnsi="Times New Roman" w:cs="Times New Roman"/>
          <w:sz w:val="24"/>
          <w:szCs w:val="24"/>
        </w:rPr>
        <w:t xml:space="preserve"> shows the highest positive correlation with </w:t>
      </w:r>
      <w:proofErr w:type="spellStart"/>
      <w:r w:rsidRPr="00E64653">
        <w:rPr>
          <w:rFonts w:ascii="Times New Roman" w:hAnsi="Times New Roman" w:cs="Times New Roman"/>
          <w:sz w:val="24"/>
          <w:szCs w:val="24"/>
        </w:rPr>
        <w:t>FloodProbability</w:t>
      </w:r>
      <w:proofErr w:type="spellEnd"/>
      <w:r w:rsidRPr="00E64653">
        <w:rPr>
          <w:rFonts w:ascii="Times New Roman" w:hAnsi="Times New Roman" w:cs="Times New Roman"/>
          <w:sz w:val="24"/>
          <w:szCs w:val="24"/>
        </w:rPr>
        <w:t xml:space="preserve"> (r = 0.81), followed by </w:t>
      </w:r>
      <w:proofErr w:type="spellStart"/>
      <w:r w:rsidRPr="00E64653">
        <w:rPr>
          <w:rFonts w:ascii="Times New Roman" w:hAnsi="Times New Roman" w:cs="Times New Roman"/>
          <w:sz w:val="24"/>
          <w:szCs w:val="24"/>
        </w:rPr>
        <w:t>TopographyDrainage</w:t>
      </w:r>
      <w:proofErr w:type="spellEnd"/>
      <w:r w:rsidRPr="00E64653">
        <w:rPr>
          <w:rFonts w:ascii="Times New Roman" w:hAnsi="Times New Roman" w:cs="Times New Roman"/>
          <w:sz w:val="24"/>
          <w:szCs w:val="24"/>
        </w:rPr>
        <w:t xml:space="preserve"> (r = 0.73) and Deforestation (r = 0.69). The moderate cross-correlations among ecological indicators (Deforestation ↔ </w:t>
      </w:r>
      <w:proofErr w:type="spellStart"/>
      <w:r w:rsidRPr="00E64653">
        <w:rPr>
          <w:rFonts w:ascii="Times New Roman" w:hAnsi="Times New Roman" w:cs="Times New Roman"/>
          <w:sz w:val="24"/>
          <w:szCs w:val="24"/>
        </w:rPr>
        <w:t>WetlandLoss</w:t>
      </w:r>
      <w:proofErr w:type="spellEnd"/>
      <w:r w:rsidRPr="00E64653">
        <w:rPr>
          <w:rFonts w:ascii="Times New Roman" w:hAnsi="Times New Roman" w:cs="Times New Roman"/>
          <w:sz w:val="24"/>
          <w:szCs w:val="24"/>
        </w:rPr>
        <w:t>: r = 0.58) suggest partially overlapping causal pathways, which the DNN successfully disentangles through its hidden layer representations.</w:t>
      </w:r>
    </w:p>
    <w:p w:rsidR="00C50FA4" w:rsidRPr="00E64653" w:rsidRDefault="00C50FA4">
      <w:pPr>
        <w:spacing w:before="60"/>
        <w:rPr>
          <w:rFonts w:ascii="Times New Roman" w:hAnsi="Times New Roman" w:cs="Times New Roman"/>
          <w:sz w:val="24"/>
          <w:szCs w:val="24"/>
        </w:rPr>
      </w:pPr>
    </w:p>
    <w:p w:rsidR="00C50FA4" w:rsidRPr="00E64653" w:rsidRDefault="00783D7D">
      <w:pPr>
        <w:spacing w:before="80" w:after="40"/>
        <w:jc w:val="center"/>
        <w:rPr>
          <w:rFonts w:ascii="Times New Roman" w:hAnsi="Times New Roman" w:cs="Times New Roman"/>
          <w:sz w:val="24"/>
          <w:szCs w:val="24"/>
        </w:rPr>
      </w:pPr>
      <w:r w:rsidRPr="00E64653">
        <w:rPr>
          <w:rFonts w:ascii="Times New Roman" w:hAnsi="Times New Roman" w:cs="Times New Roman"/>
          <w:noProof/>
          <w:sz w:val="24"/>
          <w:szCs w:val="24"/>
        </w:rPr>
        <w:drawing>
          <wp:inline distT="0" distB="0" distL="0" distR="0">
            <wp:extent cx="4657725" cy="3638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3778"/>
                    <a:stretch/>
                  </pic:blipFill>
                  <pic:spPr bwMode="auto">
                    <a:xfrm>
                      <a:off x="0" y="0"/>
                      <a:ext cx="4657725" cy="3638550"/>
                    </a:xfrm>
                    <a:prstGeom prst="rect">
                      <a:avLst/>
                    </a:prstGeom>
                    <a:ln>
                      <a:noFill/>
                    </a:ln>
                    <a:extLst>
                      <a:ext uri="{53640926-AAD7-44D8-BBD7-CCE9431645EC}">
                        <a14:shadowObscured xmlns:a14="http://schemas.microsoft.com/office/drawing/2010/main"/>
                      </a:ext>
                    </a:extLst>
                  </pic:spPr>
                </pic:pic>
              </a:graphicData>
            </a:graphic>
          </wp:inline>
        </w:drawing>
      </w:r>
    </w:p>
    <w:p w:rsidR="00C50FA4" w:rsidRPr="00BA0BDF" w:rsidRDefault="00783D7D">
      <w:pPr>
        <w:spacing w:before="60" w:after="140"/>
        <w:jc w:val="center"/>
        <w:rPr>
          <w:rFonts w:ascii="Times New Roman" w:hAnsi="Times New Roman" w:cs="Times New Roman"/>
          <w:b/>
          <w:sz w:val="24"/>
          <w:szCs w:val="24"/>
        </w:rPr>
      </w:pPr>
      <w:r w:rsidRPr="00BA0BDF">
        <w:rPr>
          <w:rFonts w:ascii="Times New Roman" w:hAnsi="Times New Roman" w:cs="Times New Roman"/>
          <w:b/>
          <w:iCs/>
          <w:color w:val="555555"/>
          <w:sz w:val="24"/>
          <w:szCs w:val="24"/>
        </w:rPr>
        <w:t xml:space="preserve">Fig. 5: Pearson Correlation </w:t>
      </w:r>
      <w:proofErr w:type="spellStart"/>
      <w:r w:rsidRPr="00BA0BDF">
        <w:rPr>
          <w:rFonts w:ascii="Times New Roman" w:hAnsi="Times New Roman" w:cs="Times New Roman"/>
          <w:b/>
          <w:iCs/>
          <w:color w:val="555555"/>
          <w:sz w:val="24"/>
          <w:szCs w:val="24"/>
        </w:rPr>
        <w:t>Heatmap</w:t>
      </w:r>
      <w:proofErr w:type="spellEnd"/>
      <w:r w:rsidRPr="00BA0BDF">
        <w:rPr>
          <w:rFonts w:ascii="Times New Roman" w:hAnsi="Times New Roman" w:cs="Times New Roman"/>
          <w:b/>
          <w:iCs/>
          <w:color w:val="555555"/>
          <w:sz w:val="24"/>
          <w:szCs w:val="24"/>
        </w:rPr>
        <w:t xml:space="preserve"> — Key Environmental Features vs. </w:t>
      </w:r>
      <w:proofErr w:type="spellStart"/>
      <w:r w:rsidRPr="00BA0BDF">
        <w:rPr>
          <w:rFonts w:ascii="Times New Roman" w:hAnsi="Times New Roman" w:cs="Times New Roman"/>
          <w:b/>
          <w:iCs/>
          <w:color w:val="555555"/>
          <w:sz w:val="24"/>
          <w:szCs w:val="24"/>
        </w:rPr>
        <w:t>FloodProbability</w:t>
      </w:r>
      <w:proofErr w:type="spellEnd"/>
    </w:p>
    <w:p w:rsidR="00C50FA4" w:rsidRPr="00BA0BDF" w:rsidRDefault="00783D7D">
      <w:pPr>
        <w:spacing w:before="200" w:after="80"/>
        <w:rPr>
          <w:rFonts w:ascii="Times New Roman" w:hAnsi="Times New Roman" w:cs="Times New Roman"/>
          <w:sz w:val="28"/>
          <w:szCs w:val="24"/>
        </w:rPr>
      </w:pPr>
      <w:r w:rsidRPr="00BA0BDF">
        <w:rPr>
          <w:rFonts w:ascii="Times New Roman" w:hAnsi="Times New Roman" w:cs="Times New Roman"/>
          <w:b/>
          <w:bCs/>
          <w:color w:val="1F497D"/>
          <w:sz w:val="28"/>
          <w:szCs w:val="24"/>
        </w:rPr>
        <w:t>5.5 Discussion</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The DNN model's R² of 0.93 and accuracy of 91.8% represent a 7.1% accuracy improvement over Random Forest and a 15.4% gain over Logistic Regression. This performance advantage stems from the DNN's ability to model higher-order, non-linear feature interactions that tree-based and kernel-based models approximate less effectively. The dominance of ecosystem-related features (Deforestation, </w:t>
      </w:r>
      <w:proofErr w:type="spellStart"/>
      <w:r w:rsidRPr="00E64653">
        <w:rPr>
          <w:rFonts w:ascii="Times New Roman" w:hAnsi="Times New Roman" w:cs="Times New Roman"/>
          <w:sz w:val="24"/>
          <w:szCs w:val="24"/>
        </w:rPr>
        <w:t>WetlandLoss</w:t>
      </w:r>
      <w:proofErr w:type="spellEnd"/>
      <w:r w:rsidRPr="00E64653">
        <w:rPr>
          <w:rFonts w:ascii="Times New Roman" w:hAnsi="Times New Roman" w:cs="Times New Roman"/>
          <w:sz w:val="24"/>
          <w:szCs w:val="24"/>
        </w:rPr>
        <w:t>, Watersheds) in the importance ranking corroborates findings from Gupta et al. [14] and the hybrid Ghaghara basin study [15], where NDVI and land-use change were top flood susceptibility predictors in Indian hill regions.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The results are consistent with recent literature demonstrating that data-driven DNN models with dropout regularization and batch normalization generalize well to tabular environmental datasets [8, 17]. The open-source reproducibility of this work via the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notebook [20b] ensures transparency and facilitates adoption by disaster management authorities.</w:t>
      </w:r>
    </w:p>
    <w:p w:rsidR="00C50FA4" w:rsidRDefault="00C50FA4">
      <w:pPr>
        <w:spacing w:before="80"/>
        <w:rPr>
          <w:rFonts w:ascii="Times New Roman" w:hAnsi="Times New Roman" w:cs="Times New Roman"/>
          <w:sz w:val="24"/>
          <w:szCs w:val="24"/>
        </w:rPr>
      </w:pPr>
    </w:p>
    <w:p w:rsidR="00E64653" w:rsidRDefault="00E64653">
      <w:pPr>
        <w:spacing w:before="80"/>
        <w:rPr>
          <w:rFonts w:ascii="Times New Roman" w:hAnsi="Times New Roman" w:cs="Times New Roman"/>
          <w:sz w:val="24"/>
          <w:szCs w:val="24"/>
        </w:rPr>
      </w:pPr>
    </w:p>
    <w:p w:rsidR="00E64653" w:rsidRDefault="00E64653">
      <w:pPr>
        <w:spacing w:before="80"/>
        <w:rPr>
          <w:rFonts w:ascii="Times New Roman" w:hAnsi="Times New Roman" w:cs="Times New Roman"/>
          <w:sz w:val="24"/>
          <w:szCs w:val="24"/>
        </w:rPr>
      </w:pPr>
    </w:p>
    <w:p w:rsidR="00BA0BDF" w:rsidRPr="00E64653" w:rsidRDefault="00BA0BDF">
      <w:pPr>
        <w:spacing w:before="80"/>
        <w:rPr>
          <w:rFonts w:ascii="Times New Roman" w:hAnsi="Times New Roman" w:cs="Times New Roman"/>
          <w:sz w:val="24"/>
          <w:szCs w:val="24"/>
        </w:rPr>
      </w:pPr>
    </w:p>
    <w:p w:rsidR="00C50FA4" w:rsidRPr="00BA0BDF" w:rsidRDefault="00783D7D">
      <w:pPr>
        <w:pBdr>
          <w:bottom w:val="single" w:sz="4" w:space="2" w:color="2E3192"/>
        </w:pBdr>
        <w:spacing w:before="280" w:after="120"/>
        <w:rPr>
          <w:rFonts w:ascii="Times New Roman" w:hAnsi="Times New Roman" w:cs="Times New Roman"/>
          <w:sz w:val="28"/>
          <w:szCs w:val="24"/>
        </w:rPr>
      </w:pPr>
      <w:r w:rsidRPr="00BA0BDF">
        <w:rPr>
          <w:rFonts w:ascii="Times New Roman" w:hAnsi="Times New Roman" w:cs="Times New Roman"/>
          <w:b/>
          <w:bCs/>
          <w:color w:val="2E3192"/>
          <w:sz w:val="28"/>
          <w:szCs w:val="24"/>
        </w:rPr>
        <w:lastRenderedPageBreak/>
        <w:t>6. Conclusion</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This study presented a Deep Neural Network-based framework for flood risk prediction in hill-adjacent communities, leveraging 21 environmental and socio-physical vulnerability indicators from the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Flood Prediction Dataset. The proposed DNN (Accuracy: 91.8%, R²: 0.93, RMSE: 0.098) significantly outperformed Logistic Regression, SVM, and Random Forest baselines, demonstrating the effectiveness of deep learning in capturing complex, non-linear flood dynamics.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Permutation feature importance and correlation analysis collectively affirm that Monsoon Intensity, Topographic Drainage, Deforestation, Wetland Loss, and Watershed degradation are the primary flood-triggering factors — establishing a quantitative link between hill ecosystem health and flood-induced human vulnerability. These findings underscore that ecosystem conservation is a frontline strategy for community survival in hill-fringe regions.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Future work will incorporate satellite-derived remote sensing features (Sentinel-1 SAR, NDVI), extend the architecture to spatiotemporal LSTM-CNN hybrids for time-series flood forecasting, and develop GIS-integrated susceptibility maps for the Himalayan foothills and the Ghaghara River basin. Integration with </w:t>
      </w:r>
      <w:proofErr w:type="spellStart"/>
      <w:r w:rsidRPr="00E64653">
        <w:rPr>
          <w:rFonts w:ascii="Times New Roman" w:hAnsi="Times New Roman" w:cs="Times New Roman"/>
          <w:sz w:val="24"/>
          <w:szCs w:val="24"/>
        </w:rPr>
        <w:t>IoT</w:t>
      </w:r>
      <w:proofErr w:type="spellEnd"/>
      <w:r w:rsidRPr="00E64653">
        <w:rPr>
          <w:rFonts w:ascii="Times New Roman" w:hAnsi="Times New Roman" w:cs="Times New Roman"/>
          <w:sz w:val="24"/>
          <w:szCs w:val="24"/>
        </w:rPr>
        <w:t>-based real-time sensor data from hill watersheds represents a promising direction for operational early warning systems.</w:t>
      </w:r>
    </w:p>
    <w:p w:rsidR="00C50FA4" w:rsidRPr="00E64653" w:rsidRDefault="00C50FA4">
      <w:pPr>
        <w:spacing w:before="100"/>
        <w:rPr>
          <w:rFonts w:ascii="Times New Roman" w:hAnsi="Times New Roman" w:cs="Times New Roman"/>
          <w:sz w:val="24"/>
          <w:szCs w:val="24"/>
        </w:rPr>
      </w:pPr>
    </w:p>
    <w:p w:rsidR="00C50FA4" w:rsidRPr="00BA0BDF" w:rsidRDefault="00783D7D">
      <w:pPr>
        <w:pBdr>
          <w:bottom w:val="single" w:sz="4" w:space="2" w:color="2E3192"/>
        </w:pBdr>
        <w:spacing w:before="280" w:after="120"/>
        <w:rPr>
          <w:rFonts w:ascii="Times New Roman" w:hAnsi="Times New Roman" w:cs="Times New Roman"/>
          <w:sz w:val="28"/>
          <w:szCs w:val="24"/>
        </w:rPr>
      </w:pPr>
      <w:r w:rsidRPr="00BA0BDF">
        <w:rPr>
          <w:rFonts w:ascii="Times New Roman" w:hAnsi="Times New Roman" w:cs="Times New Roman"/>
          <w:b/>
          <w:bCs/>
          <w:color w:val="2E3192"/>
          <w:sz w:val="28"/>
          <w:szCs w:val="24"/>
        </w:rPr>
        <w:t>References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[1] UNDRR (2023). Global Assessment Report on Disaster Risk Reduction. United Nations Office for Disaster Risk Reduction, Geneva.</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[2] India Today (2025). Over 25,000 disaster incidents in </w:t>
      </w:r>
      <w:proofErr w:type="spellStart"/>
      <w:r w:rsidRPr="00E64653">
        <w:rPr>
          <w:rFonts w:ascii="Times New Roman" w:hAnsi="Times New Roman" w:cs="Times New Roman"/>
          <w:sz w:val="24"/>
          <w:szCs w:val="24"/>
        </w:rPr>
        <w:t>Uttarakhand</w:t>
      </w:r>
      <w:proofErr w:type="spellEnd"/>
      <w:r w:rsidRPr="00E64653">
        <w:rPr>
          <w:rFonts w:ascii="Times New Roman" w:hAnsi="Times New Roman" w:cs="Times New Roman"/>
          <w:sz w:val="24"/>
          <w:szCs w:val="24"/>
        </w:rPr>
        <w:t xml:space="preserve"> in 8 years; 705 deaths from floods and landslides. India Today, Environmental Desk.</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[3] Down </w:t>
      </w:r>
      <w:proofErr w:type="gramStart"/>
      <w:r w:rsidRPr="00E64653">
        <w:rPr>
          <w:rFonts w:ascii="Times New Roman" w:hAnsi="Times New Roman" w:cs="Times New Roman"/>
          <w:sz w:val="24"/>
          <w:szCs w:val="24"/>
        </w:rPr>
        <w:t>To</w:t>
      </w:r>
      <w:proofErr w:type="gramEnd"/>
      <w:r w:rsidRPr="00E64653">
        <w:rPr>
          <w:rFonts w:ascii="Times New Roman" w:hAnsi="Times New Roman" w:cs="Times New Roman"/>
          <w:sz w:val="24"/>
          <w:szCs w:val="24"/>
        </w:rPr>
        <w:t xml:space="preserve"> Earth (2025). Himachal Pradesh 2023 floods: 441 fatalities, ₹12,000 crore damage. Down </w:t>
      </w:r>
      <w:proofErr w:type="gramStart"/>
      <w:r w:rsidRPr="00E64653">
        <w:rPr>
          <w:rFonts w:ascii="Times New Roman" w:hAnsi="Times New Roman" w:cs="Times New Roman"/>
          <w:sz w:val="24"/>
          <w:szCs w:val="24"/>
        </w:rPr>
        <w:t>To</w:t>
      </w:r>
      <w:proofErr w:type="gramEnd"/>
      <w:r w:rsidRPr="00E64653">
        <w:rPr>
          <w:rFonts w:ascii="Times New Roman" w:hAnsi="Times New Roman" w:cs="Times New Roman"/>
          <w:sz w:val="24"/>
          <w:szCs w:val="24"/>
        </w:rPr>
        <w:t xml:space="preserve"> Earth News Report.</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[4] </w:t>
      </w:r>
      <w:proofErr w:type="spellStart"/>
      <w:r w:rsidRPr="00E64653">
        <w:rPr>
          <w:rFonts w:ascii="Times New Roman" w:hAnsi="Times New Roman" w:cs="Times New Roman"/>
          <w:sz w:val="24"/>
          <w:szCs w:val="24"/>
        </w:rPr>
        <w:t>Bentivoglio</w:t>
      </w:r>
      <w:proofErr w:type="spellEnd"/>
      <w:r w:rsidRPr="00E64653">
        <w:rPr>
          <w:rFonts w:ascii="Times New Roman" w:hAnsi="Times New Roman" w:cs="Times New Roman"/>
          <w:sz w:val="24"/>
          <w:szCs w:val="24"/>
        </w:rPr>
        <w:t>, R., et al. (2022). Deep learning methods for flood mapping: a review of existing applications and future research directions. Hydrology and Earth System Sciences, 26(16), 4345–4378.</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[5] </w:t>
      </w:r>
      <w:proofErr w:type="spellStart"/>
      <w:r w:rsidRPr="00E64653">
        <w:rPr>
          <w:rFonts w:ascii="Times New Roman" w:hAnsi="Times New Roman" w:cs="Times New Roman"/>
          <w:sz w:val="24"/>
          <w:szCs w:val="24"/>
        </w:rPr>
        <w:t>Mangukiya</w:t>
      </w:r>
      <w:proofErr w:type="spellEnd"/>
      <w:r w:rsidRPr="00E64653">
        <w:rPr>
          <w:rFonts w:ascii="Times New Roman" w:hAnsi="Times New Roman" w:cs="Times New Roman"/>
          <w:sz w:val="24"/>
          <w:szCs w:val="24"/>
        </w:rPr>
        <w:t>, N., et al. (2025). Machine learning applications in flood forecasting and predictions, challenges, and way-out. AIMS Environmental Science, 12(1), 72–105. doi:10.3934/environsci.2025004.</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[6] Zhou, Q., et al. (2023). A deep-learning data-driven model for accurate and rapid flood predictions in temporal and spatial dimensions. Natural Hazards and Earth System Sciences.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[7] </w:t>
      </w:r>
      <w:proofErr w:type="spellStart"/>
      <w:r w:rsidRPr="00E64653">
        <w:rPr>
          <w:rFonts w:ascii="Times New Roman" w:hAnsi="Times New Roman" w:cs="Times New Roman"/>
          <w:sz w:val="24"/>
          <w:szCs w:val="24"/>
        </w:rPr>
        <w:t>Razavi-Termeh</w:t>
      </w:r>
      <w:proofErr w:type="spellEnd"/>
      <w:r w:rsidRPr="00E64653">
        <w:rPr>
          <w:rFonts w:ascii="Times New Roman" w:hAnsi="Times New Roman" w:cs="Times New Roman"/>
          <w:sz w:val="24"/>
          <w:szCs w:val="24"/>
        </w:rPr>
        <w:t>, S.V., et al. (2025). Flood susceptibility mapping using optimized deep learning models: LSTM and RNN with GA and CSA. Applied Water Science. doi:10.1007/s13201-025-02548-5.</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[8] Kumar, V., et al. (2025). Machine learning applications in flood forecasting: a comprehensive review. AIMS Environmental Science, 12(1), 72–105.</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[9] Saeed, M., et al. (2021). Flood hazard zonation using an artificial neural network: Kabul River Basin, Pakistan. Sustainability, 13(24), 13953.</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[10] </w:t>
      </w:r>
      <w:proofErr w:type="spellStart"/>
      <w:r w:rsidRPr="00E64653">
        <w:rPr>
          <w:rFonts w:ascii="Times New Roman" w:hAnsi="Times New Roman" w:cs="Times New Roman"/>
          <w:sz w:val="24"/>
          <w:szCs w:val="24"/>
        </w:rPr>
        <w:t>Yaseen</w:t>
      </w:r>
      <w:proofErr w:type="spellEnd"/>
      <w:r w:rsidRPr="00E64653">
        <w:rPr>
          <w:rFonts w:ascii="Times New Roman" w:hAnsi="Times New Roman" w:cs="Times New Roman"/>
          <w:sz w:val="24"/>
          <w:szCs w:val="24"/>
        </w:rPr>
        <w:t>, A., Lu, J., &amp; Chen, X. (2022). Flood susceptibility mapping in arid Pakistan through ensemble machine learning. Stochastic Environmental Research and Risk Assessment, 36(10), 3041–3061.</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lastRenderedPageBreak/>
        <w:t>[11] Fang, Z., et al. (2021). Predicting flood susceptibility using LSTM neural networks. Journal of Hydrology, 594, 125734.</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[12] An, H., &amp; Ouyang, C. (2025). Hybrid framework for real-time flash flood forecasting integrating hydrodynamic simulations with LSTM. Journal of Hydrology. </w:t>
      </w:r>
      <w:proofErr w:type="gramStart"/>
      <w:r w:rsidRPr="00E64653">
        <w:rPr>
          <w:rFonts w:ascii="Times New Roman" w:hAnsi="Times New Roman" w:cs="Times New Roman"/>
          <w:sz w:val="24"/>
          <w:szCs w:val="24"/>
        </w:rPr>
        <w:t>doi:10.1016/j.jhydrol</w:t>
      </w:r>
      <w:proofErr w:type="gramEnd"/>
      <w:r w:rsidRPr="00E64653">
        <w:rPr>
          <w:rFonts w:ascii="Times New Roman" w:hAnsi="Times New Roman" w:cs="Times New Roman"/>
          <w:sz w:val="24"/>
          <w:szCs w:val="24"/>
        </w:rPr>
        <w:t>.2025.133688.</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[13] Chen, J., Li, Y., &amp; Zhang, S. (2023). Fast prediction of urban flooding water depth based on CNN–LSTM. Water, 15(7), 1397.</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[14] Gupta, V., et al. (2025/2026). Rapid flood susceptibility mapping in the Indian Himalayan Region using CNN–U-Net segmentation: insights from the 2025 monsoon events. Natural Hazards. doi:10.1007/s11069-026-08175-w.</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[15] </w:t>
      </w:r>
      <w:proofErr w:type="spellStart"/>
      <w:r w:rsidRPr="00E64653">
        <w:rPr>
          <w:rFonts w:ascii="Times New Roman" w:hAnsi="Times New Roman" w:cs="Times New Roman"/>
          <w:sz w:val="24"/>
          <w:szCs w:val="24"/>
        </w:rPr>
        <w:t>Maru</w:t>
      </w:r>
      <w:proofErr w:type="spellEnd"/>
      <w:r w:rsidRPr="00E64653">
        <w:rPr>
          <w:rFonts w:ascii="Times New Roman" w:hAnsi="Times New Roman" w:cs="Times New Roman"/>
          <w:sz w:val="24"/>
          <w:szCs w:val="24"/>
        </w:rPr>
        <w:t xml:space="preserve">, D.R., et al. (2025). Integrating GIS, MCDM, and spatial analysis for comprehensive flood risk assessment in </w:t>
      </w:r>
      <w:proofErr w:type="spellStart"/>
      <w:r w:rsidRPr="00E64653">
        <w:rPr>
          <w:rFonts w:ascii="Times New Roman" w:hAnsi="Times New Roman" w:cs="Times New Roman"/>
          <w:sz w:val="24"/>
          <w:szCs w:val="24"/>
        </w:rPr>
        <w:t>Uttarakhand</w:t>
      </w:r>
      <w:proofErr w:type="spellEnd"/>
      <w:r w:rsidRPr="00E64653">
        <w:rPr>
          <w:rFonts w:ascii="Times New Roman" w:hAnsi="Times New Roman" w:cs="Times New Roman"/>
          <w:sz w:val="24"/>
          <w:szCs w:val="24"/>
        </w:rPr>
        <w:t>, India. Earth Systems and Environment.</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[16] Mishra, P., &amp; Prasad, S.K. (2025). Flood susceptibility prediction using machine learning: a case study of the </w:t>
      </w:r>
      <w:proofErr w:type="spellStart"/>
      <w:r w:rsidRPr="00E64653">
        <w:rPr>
          <w:rFonts w:ascii="Times New Roman" w:hAnsi="Times New Roman" w:cs="Times New Roman"/>
          <w:sz w:val="24"/>
          <w:szCs w:val="24"/>
        </w:rPr>
        <w:t>Ghaghra</w:t>
      </w:r>
      <w:proofErr w:type="spellEnd"/>
      <w:r w:rsidRPr="00E64653">
        <w:rPr>
          <w:rFonts w:ascii="Times New Roman" w:hAnsi="Times New Roman" w:cs="Times New Roman"/>
          <w:sz w:val="24"/>
          <w:szCs w:val="24"/>
        </w:rPr>
        <w:t xml:space="preserve"> Basin. IEEE IATMSI Conference Proceedings.</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[17] </w:t>
      </w:r>
      <w:proofErr w:type="spellStart"/>
      <w:r w:rsidRPr="00E64653">
        <w:rPr>
          <w:rFonts w:ascii="Times New Roman" w:hAnsi="Times New Roman" w:cs="Times New Roman"/>
          <w:sz w:val="24"/>
          <w:szCs w:val="24"/>
        </w:rPr>
        <w:t>Rifath</w:t>
      </w:r>
      <w:proofErr w:type="spellEnd"/>
      <w:r w:rsidRPr="00E64653">
        <w:rPr>
          <w:rFonts w:ascii="Times New Roman" w:hAnsi="Times New Roman" w:cs="Times New Roman"/>
          <w:sz w:val="24"/>
          <w:szCs w:val="24"/>
        </w:rPr>
        <w:t>, A.R., et al. (2024). Flash flood prediction in the hilly regions of southeastern Bangladesh: machine learning for present and future climate scenarios. Environmental Challenges, 17, 101029.</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[18] </w:t>
      </w:r>
      <w:proofErr w:type="spellStart"/>
      <w:r w:rsidRPr="00E64653">
        <w:rPr>
          <w:rFonts w:ascii="Times New Roman" w:hAnsi="Times New Roman" w:cs="Times New Roman"/>
          <w:sz w:val="24"/>
          <w:szCs w:val="24"/>
        </w:rPr>
        <w:t>Shaddoud</w:t>
      </w:r>
      <w:proofErr w:type="spellEnd"/>
      <w:r w:rsidRPr="00E64653">
        <w:rPr>
          <w:rFonts w:ascii="Times New Roman" w:hAnsi="Times New Roman" w:cs="Times New Roman"/>
          <w:sz w:val="24"/>
          <w:szCs w:val="24"/>
        </w:rPr>
        <w:t>, M.A., et al. (2025). Flood susceptibility mapping using supervised machine learning models: insights into predictors significance and models performance. Geomatics, Natural Hazards and Risk.</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[19] </w:t>
      </w:r>
      <w:proofErr w:type="spellStart"/>
      <w:r w:rsidRPr="00E64653">
        <w:rPr>
          <w:rFonts w:ascii="Times New Roman" w:hAnsi="Times New Roman" w:cs="Times New Roman"/>
          <w:sz w:val="24"/>
          <w:szCs w:val="24"/>
        </w:rPr>
        <w:t>Achu</w:t>
      </w:r>
      <w:proofErr w:type="spellEnd"/>
      <w:r w:rsidRPr="00E64653">
        <w:rPr>
          <w:rFonts w:ascii="Times New Roman" w:hAnsi="Times New Roman" w:cs="Times New Roman"/>
          <w:sz w:val="24"/>
          <w:szCs w:val="24"/>
        </w:rPr>
        <w:t>, A.L., et al. (2025). Improved flood risk assessment using multi-model ensemble machine-learning techniques in a tropical river basin of Southern India. Physical Geography, 46(2), 127–155.</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[20a] Khalid, N. (2024). Flood Prediction Dataset.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Open Dataset. https://www.kaggle.com/datasets/naiyakhalid/flood-prediction-dataset</w:t>
      </w:r>
    </w:p>
    <w:p w:rsidR="00C50FA4" w:rsidRPr="00E64653" w:rsidRDefault="00783D7D">
      <w:pPr>
        <w:spacing w:before="60" w:after="60" w:line="268" w:lineRule="auto"/>
        <w:jc w:val="both"/>
        <w:rPr>
          <w:rFonts w:ascii="Times New Roman" w:hAnsi="Times New Roman" w:cs="Times New Roman"/>
          <w:sz w:val="24"/>
          <w:szCs w:val="24"/>
        </w:rPr>
      </w:pPr>
      <w:r w:rsidRPr="00E64653">
        <w:rPr>
          <w:rFonts w:ascii="Times New Roman" w:hAnsi="Times New Roman" w:cs="Times New Roman"/>
          <w:sz w:val="24"/>
          <w:szCs w:val="24"/>
        </w:rPr>
        <w:t xml:space="preserve">[20b] </w:t>
      </w:r>
      <w:proofErr w:type="spellStart"/>
      <w:r w:rsidRPr="00E64653">
        <w:rPr>
          <w:rFonts w:ascii="Times New Roman" w:hAnsi="Times New Roman" w:cs="Times New Roman"/>
          <w:sz w:val="24"/>
          <w:szCs w:val="24"/>
        </w:rPr>
        <w:t>Harfoush</w:t>
      </w:r>
      <w:proofErr w:type="spellEnd"/>
      <w:r w:rsidRPr="00E64653">
        <w:rPr>
          <w:rFonts w:ascii="Times New Roman" w:hAnsi="Times New Roman" w:cs="Times New Roman"/>
          <w:sz w:val="24"/>
          <w:szCs w:val="24"/>
        </w:rPr>
        <w:t xml:space="preserve">, A. (2024). Flood Monitoring and Prediction. </w:t>
      </w:r>
      <w:proofErr w:type="spellStart"/>
      <w:r w:rsidRPr="00E64653">
        <w:rPr>
          <w:rFonts w:ascii="Times New Roman" w:hAnsi="Times New Roman" w:cs="Times New Roman"/>
          <w:sz w:val="24"/>
          <w:szCs w:val="24"/>
        </w:rPr>
        <w:t>Kaggle</w:t>
      </w:r>
      <w:proofErr w:type="spellEnd"/>
      <w:r w:rsidRPr="00E64653">
        <w:rPr>
          <w:rFonts w:ascii="Times New Roman" w:hAnsi="Times New Roman" w:cs="Times New Roman"/>
          <w:sz w:val="24"/>
          <w:szCs w:val="24"/>
        </w:rPr>
        <w:t xml:space="preserve"> Notebook. https://www.kaggle.com/code/ahmed1harfoush/flood-monitoring-and-prediction</w:t>
      </w:r>
    </w:p>
    <w:sectPr w:rsidR="00C50FA4" w:rsidRPr="00E64653" w:rsidSect="00E64653">
      <w:pgSz w:w="11906" w:h="16838"/>
      <w:pgMar w:top="1134" w:right="1016" w:bottom="1134" w:left="99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DA031C"/>
    <w:multiLevelType w:val="hybridMultilevel"/>
    <w:tmpl w:val="09324688"/>
    <w:lvl w:ilvl="0" w:tplc="5804F7B8">
      <w:start w:val="1"/>
      <w:numFmt w:val="bullet"/>
      <w:lvlText w:val="•"/>
      <w:lvlJc w:val="left"/>
      <w:pPr>
        <w:ind w:left="680" w:hanging="340"/>
      </w:pPr>
    </w:lvl>
    <w:lvl w:ilvl="1" w:tplc="FB7ED4C8">
      <w:numFmt w:val="decimal"/>
      <w:lvlText w:val=""/>
      <w:lvlJc w:val="left"/>
    </w:lvl>
    <w:lvl w:ilvl="2" w:tplc="BD16665A">
      <w:numFmt w:val="decimal"/>
      <w:lvlText w:val=""/>
      <w:lvlJc w:val="left"/>
    </w:lvl>
    <w:lvl w:ilvl="3" w:tplc="EB802B60">
      <w:numFmt w:val="decimal"/>
      <w:lvlText w:val=""/>
      <w:lvlJc w:val="left"/>
    </w:lvl>
    <w:lvl w:ilvl="4" w:tplc="5D6A0800">
      <w:numFmt w:val="decimal"/>
      <w:lvlText w:val=""/>
      <w:lvlJc w:val="left"/>
    </w:lvl>
    <w:lvl w:ilvl="5" w:tplc="59EAB70E">
      <w:numFmt w:val="decimal"/>
      <w:lvlText w:val=""/>
      <w:lvlJc w:val="left"/>
    </w:lvl>
    <w:lvl w:ilvl="6" w:tplc="4010F8EE">
      <w:numFmt w:val="decimal"/>
      <w:lvlText w:val=""/>
      <w:lvlJc w:val="left"/>
    </w:lvl>
    <w:lvl w:ilvl="7" w:tplc="7696B944">
      <w:numFmt w:val="decimal"/>
      <w:lvlText w:val=""/>
      <w:lvlJc w:val="left"/>
    </w:lvl>
    <w:lvl w:ilvl="8" w:tplc="DEC012A8">
      <w:numFmt w:val="decimal"/>
      <w:lvlText w:val=""/>
      <w:lvlJc w:val="left"/>
    </w:lvl>
  </w:abstractNum>
  <w:abstractNum w:abstractNumId="1" w15:restartNumberingAfterBreak="0">
    <w:nsid w:val="48622089"/>
    <w:multiLevelType w:val="hybridMultilevel"/>
    <w:tmpl w:val="DE62D49E"/>
    <w:lvl w:ilvl="0" w:tplc="524486E8">
      <w:start w:val="1"/>
      <w:numFmt w:val="bullet"/>
      <w:lvlText w:val="●"/>
      <w:lvlJc w:val="left"/>
      <w:pPr>
        <w:ind w:left="720" w:hanging="360"/>
      </w:pPr>
    </w:lvl>
    <w:lvl w:ilvl="1" w:tplc="DFEAAD64">
      <w:start w:val="1"/>
      <w:numFmt w:val="bullet"/>
      <w:lvlText w:val="○"/>
      <w:lvlJc w:val="left"/>
      <w:pPr>
        <w:ind w:left="1440" w:hanging="360"/>
      </w:pPr>
    </w:lvl>
    <w:lvl w:ilvl="2" w:tplc="6BAE91BA">
      <w:start w:val="1"/>
      <w:numFmt w:val="bullet"/>
      <w:lvlText w:val="■"/>
      <w:lvlJc w:val="left"/>
      <w:pPr>
        <w:ind w:left="2160" w:hanging="360"/>
      </w:pPr>
    </w:lvl>
    <w:lvl w:ilvl="3" w:tplc="0DCA69AA">
      <w:start w:val="1"/>
      <w:numFmt w:val="bullet"/>
      <w:lvlText w:val="●"/>
      <w:lvlJc w:val="left"/>
      <w:pPr>
        <w:ind w:left="2880" w:hanging="360"/>
      </w:pPr>
    </w:lvl>
    <w:lvl w:ilvl="4" w:tplc="0C36EE2E">
      <w:start w:val="1"/>
      <w:numFmt w:val="bullet"/>
      <w:lvlText w:val="○"/>
      <w:lvlJc w:val="left"/>
      <w:pPr>
        <w:ind w:left="3600" w:hanging="360"/>
      </w:pPr>
    </w:lvl>
    <w:lvl w:ilvl="5" w:tplc="22429FBA">
      <w:start w:val="1"/>
      <w:numFmt w:val="bullet"/>
      <w:lvlText w:val="■"/>
      <w:lvlJc w:val="left"/>
      <w:pPr>
        <w:ind w:left="4320" w:hanging="360"/>
      </w:pPr>
    </w:lvl>
    <w:lvl w:ilvl="6" w:tplc="276A6690">
      <w:start w:val="1"/>
      <w:numFmt w:val="bullet"/>
      <w:lvlText w:val="●"/>
      <w:lvlJc w:val="left"/>
      <w:pPr>
        <w:ind w:left="5040" w:hanging="360"/>
      </w:pPr>
    </w:lvl>
    <w:lvl w:ilvl="7" w:tplc="1D0EFBE8">
      <w:start w:val="1"/>
      <w:numFmt w:val="bullet"/>
      <w:lvlText w:val="●"/>
      <w:lvlJc w:val="left"/>
      <w:pPr>
        <w:ind w:left="5760" w:hanging="360"/>
      </w:pPr>
    </w:lvl>
    <w:lvl w:ilvl="8" w:tplc="9022023E">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FA4"/>
    <w:rsid w:val="00071BE0"/>
    <w:rsid w:val="000B23AF"/>
    <w:rsid w:val="0018016D"/>
    <w:rsid w:val="00783D7D"/>
    <w:rsid w:val="00AF52AD"/>
    <w:rsid w:val="00BA0BDF"/>
    <w:rsid w:val="00C50FA4"/>
    <w:rsid w:val="00E26448"/>
    <w:rsid w:val="00E64653"/>
    <w:rsid w:val="00EA1C56"/>
    <w:rsid w:val="00F85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8A1D"/>
  <w15:docId w15:val="{10BA395F-6CDE-4E0A-94ED-92E1B073B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2573</Words>
  <Characters>14668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6</cp:revision>
  <dcterms:created xsi:type="dcterms:W3CDTF">2026-06-11T11:14:00Z</dcterms:created>
  <dcterms:modified xsi:type="dcterms:W3CDTF">2026-06-12T06:57:00Z</dcterms:modified>
</cp:coreProperties>
</file>